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736B2" w14:textId="78B9828D" w:rsidR="00DD30AE" w:rsidRDefault="00B760A3" w:rsidP="00EF636B">
      <w:pPr>
        <w:jc w:val="both"/>
      </w:pPr>
      <w:r>
        <w:t xml:space="preserve">               </w:t>
      </w:r>
    </w:p>
    <w:p w14:paraId="6836160B" w14:textId="77777777" w:rsidR="00EF636B" w:rsidRDefault="00EF636B" w:rsidP="00B760A3">
      <w:pPr>
        <w:rPr>
          <w:rFonts w:ascii="Arial" w:hAnsi="Arial" w:cs="Arial"/>
          <w:b/>
          <w:sz w:val="24"/>
          <w:szCs w:val="24"/>
        </w:rPr>
      </w:pPr>
    </w:p>
    <w:p w14:paraId="209E6BAB" w14:textId="77777777" w:rsidR="00481B0B" w:rsidRDefault="00481B0B" w:rsidP="00B760A3">
      <w:pPr>
        <w:rPr>
          <w:rFonts w:ascii="Arial" w:hAnsi="Arial" w:cs="Arial"/>
          <w:b/>
          <w:sz w:val="24"/>
          <w:szCs w:val="24"/>
        </w:rPr>
      </w:pPr>
    </w:p>
    <w:p w14:paraId="0FFF1B08" w14:textId="77777777" w:rsidR="00481B0B" w:rsidRDefault="00481B0B" w:rsidP="00B760A3">
      <w:pPr>
        <w:rPr>
          <w:rFonts w:ascii="Arial" w:hAnsi="Arial" w:cs="Arial"/>
          <w:b/>
          <w:sz w:val="24"/>
          <w:szCs w:val="24"/>
        </w:rPr>
      </w:pPr>
    </w:p>
    <w:p w14:paraId="0B8436E5" w14:textId="77777777" w:rsidR="00481B0B" w:rsidRDefault="00481B0B" w:rsidP="00B760A3">
      <w:pPr>
        <w:rPr>
          <w:rFonts w:ascii="Arial" w:hAnsi="Arial" w:cs="Arial"/>
          <w:b/>
          <w:sz w:val="24"/>
          <w:szCs w:val="24"/>
        </w:rPr>
      </w:pPr>
    </w:p>
    <w:p w14:paraId="7A062573" w14:textId="49E9907B" w:rsidR="005F20C6" w:rsidRPr="005F20C6" w:rsidRDefault="005F20C6" w:rsidP="005F20C6">
      <w:pPr>
        <w:jc w:val="center"/>
        <w:rPr>
          <w:rFonts w:ascii="Arial" w:hAnsi="Arial" w:cs="Arial"/>
          <w:b/>
          <w:sz w:val="36"/>
          <w:szCs w:val="36"/>
        </w:rPr>
      </w:pPr>
      <w:r w:rsidRPr="005F20C6">
        <w:rPr>
          <w:rFonts w:ascii="Arial" w:hAnsi="Arial" w:cs="Arial"/>
          <w:b/>
          <w:bCs/>
          <w:sz w:val="36"/>
          <w:szCs w:val="36"/>
        </w:rPr>
        <w:t>Metodický pokyn</w:t>
      </w:r>
    </w:p>
    <w:p w14:paraId="58D7B931" w14:textId="2058A749" w:rsidR="005F20C6" w:rsidRPr="005F20C6" w:rsidRDefault="005F20C6" w:rsidP="005F20C6">
      <w:pPr>
        <w:jc w:val="center"/>
        <w:rPr>
          <w:rFonts w:ascii="Arial" w:hAnsi="Arial" w:cs="Arial"/>
          <w:b/>
          <w:sz w:val="36"/>
          <w:szCs w:val="36"/>
        </w:rPr>
      </w:pPr>
      <w:r w:rsidRPr="005F20C6">
        <w:rPr>
          <w:rFonts w:ascii="Arial" w:hAnsi="Arial" w:cs="Arial"/>
          <w:b/>
          <w:bCs/>
          <w:sz w:val="36"/>
          <w:szCs w:val="36"/>
        </w:rPr>
        <w:t>Rady pro výzkum, vývoj a inovace</w:t>
      </w:r>
    </w:p>
    <w:p w14:paraId="66E875EC" w14:textId="041664E1" w:rsidR="005F20C6" w:rsidRPr="005F20C6" w:rsidRDefault="005F20C6" w:rsidP="005F20C6">
      <w:pPr>
        <w:jc w:val="center"/>
        <w:rPr>
          <w:rFonts w:ascii="Arial" w:hAnsi="Arial" w:cs="Arial"/>
          <w:b/>
          <w:sz w:val="36"/>
          <w:szCs w:val="36"/>
        </w:rPr>
      </w:pPr>
      <w:r w:rsidRPr="005F20C6">
        <w:rPr>
          <w:rFonts w:ascii="Arial" w:hAnsi="Arial" w:cs="Arial"/>
          <w:b/>
          <w:bCs/>
          <w:sz w:val="36"/>
          <w:szCs w:val="36"/>
        </w:rPr>
        <w:t>za účelem harmonizace metodického prostředí</w:t>
      </w:r>
    </w:p>
    <w:p w14:paraId="7F00D8DD" w14:textId="6A28B88B" w:rsidR="005F20C6" w:rsidRPr="005F20C6" w:rsidRDefault="005F20C6" w:rsidP="005F20C6">
      <w:pPr>
        <w:jc w:val="center"/>
        <w:rPr>
          <w:rFonts w:ascii="Arial" w:hAnsi="Arial" w:cs="Arial"/>
          <w:b/>
          <w:sz w:val="36"/>
          <w:szCs w:val="36"/>
        </w:rPr>
      </w:pPr>
      <w:r w:rsidRPr="005F20C6">
        <w:rPr>
          <w:rFonts w:ascii="Arial" w:hAnsi="Arial" w:cs="Arial"/>
          <w:b/>
          <w:bCs/>
          <w:sz w:val="36"/>
          <w:szCs w:val="36"/>
        </w:rPr>
        <w:t>k poskytování účelové podpory</w:t>
      </w:r>
    </w:p>
    <w:p w14:paraId="5E8C9955" w14:textId="77777777" w:rsidR="005F20C6" w:rsidRPr="005F20C6" w:rsidRDefault="005F20C6" w:rsidP="005F20C6">
      <w:pPr>
        <w:jc w:val="center"/>
        <w:rPr>
          <w:rFonts w:ascii="Arial" w:hAnsi="Arial" w:cs="Arial"/>
          <w:b/>
          <w:sz w:val="36"/>
          <w:szCs w:val="36"/>
        </w:rPr>
      </w:pPr>
      <w:r w:rsidRPr="005F20C6">
        <w:rPr>
          <w:rFonts w:ascii="Arial" w:hAnsi="Arial" w:cs="Arial"/>
          <w:b/>
          <w:bCs/>
          <w:sz w:val="36"/>
          <w:szCs w:val="36"/>
        </w:rPr>
        <w:t>na výzkum, vývoj a inovace</w:t>
      </w:r>
    </w:p>
    <w:p w14:paraId="52E3463E" w14:textId="77777777" w:rsidR="005F20C6" w:rsidRDefault="005F20C6" w:rsidP="005F20C6">
      <w:pPr>
        <w:jc w:val="center"/>
        <w:rPr>
          <w:rFonts w:ascii="Arial" w:hAnsi="Arial" w:cs="Arial"/>
          <w:b/>
          <w:bCs/>
          <w:sz w:val="36"/>
          <w:szCs w:val="36"/>
        </w:rPr>
      </w:pPr>
      <w:r w:rsidRPr="005F20C6">
        <w:rPr>
          <w:rFonts w:ascii="Arial" w:hAnsi="Arial" w:cs="Arial"/>
          <w:b/>
          <w:bCs/>
          <w:sz w:val="36"/>
          <w:szCs w:val="36"/>
        </w:rPr>
        <w:t>napříč všemi poskytovateli</w:t>
      </w:r>
    </w:p>
    <w:p w14:paraId="60A9558B" w14:textId="77777777" w:rsidR="005F20C6" w:rsidRDefault="005F20C6" w:rsidP="005F20C6">
      <w:pPr>
        <w:jc w:val="center"/>
        <w:rPr>
          <w:rFonts w:ascii="Arial" w:hAnsi="Arial" w:cs="Arial"/>
          <w:b/>
          <w:bCs/>
          <w:sz w:val="36"/>
          <w:szCs w:val="36"/>
        </w:rPr>
      </w:pPr>
    </w:p>
    <w:p w14:paraId="4DFAB895" w14:textId="77777777" w:rsidR="005F20C6" w:rsidRDefault="005F20C6" w:rsidP="005F20C6">
      <w:pPr>
        <w:jc w:val="center"/>
        <w:rPr>
          <w:rFonts w:ascii="Arial" w:hAnsi="Arial" w:cs="Arial"/>
          <w:b/>
          <w:bCs/>
          <w:sz w:val="36"/>
          <w:szCs w:val="36"/>
        </w:rPr>
      </w:pPr>
    </w:p>
    <w:p w14:paraId="4976E27E" w14:textId="77777777" w:rsidR="005F20C6" w:rsidRDefault="005F20C6" w:rsidP="005F20C6">
      <w:pPr>
        <w:jc w:val="center"/>
        <w:rPr>
          <w:rFonts w:ascii="Arial" w:hAnsi="Arial" w:cs="Arial"/>
          <w:b/>
          <w:bCs/>
          <w:sz w:val="36"/>
          <w:szCs w:val="36"/>
        </w:rPr>
      </w:pPr>
    </w:p>
    <w:p w14:paraId="3CD27761" w14:textId="77777777" w:rsidR="005F20C6" w:rsidRDefault="005F20C6" w:rsidP="005F20C6">
      <w:pPr>
        <w:jc w:val="center"/>
        <w:rPr>
          <w:rFonts w:ascii="Arial" w:hAnsi="Arial" w:cs="Arial"/>
          <w:b/>
          <w:bCs/>
          <w:sz w:val="36"/>
          <w:szCs w:val="36"/>
        </w:rPr>
      </w:pPr>
    </w:p>
    <w:p w14:paraId="711FB350" w14:textId="77777777" w:rsidR="005F20C6" w:rsidRDefault="005F20C6" w:rsidP="005F20C6">
      <w:pPr>
        <w:jc w:val="center"/>
        <w:rPr>
          <w:rFonts w:ascii="Arial" w:hAnsi="Arial" w:cs="Arial"/>
          <w:b/>
          <w:bCs/>
          <w:sz w:val="36"/>
          <w:szCs w:val="36"/>
        </w:rPr>
      </w:pPr>
    </w:p>
    <w:p w14:paraId="6EAC777B" w14:textId="77777777" w:rsidR="005F20C6" w:rsidRDefault="005F20C6" w:rsidP="005F20C6">
      <w:pPr>
        <w:jc w:val="center"/>
        <w:rPr>
          <w:rFonts w:ascii="Arial" w:hAnsi="Arial" w:cs="Arial"/>
          <w:b/>
          <w:bCs/>
          <w:sz w:val="36"/>
          <w:szCs w:val="36"/>
        </w:rPr>
      </w:pPr>
    </w:p>
    <w:p w14:paraId="3AA20293" w14:textId="77777777" w:rsidR="00481B0B" w:rsidRDefault="00481B0B" w:rsidP="005F20C6">
      <w:pPr>
        <w:jc w:val="center"/>
        <w:rPr>
          <w:rFonts w:ascii="Arial" w:hAnsi="Arial" w:cs="Arial"/>
          <w:b/>
          <w:bCs/>
          <w:sz w:val="36"/>
          <w:szCs w:val="36"/>
        </w:rPr>
      </w:pPr>
    </w:p>
    <w:p w14:paraId="47D81F8E" w14:textId="77777777" w:rsidR="00481B0B" w:rsidRDefault="00481B0B" w:rsidP="005F20C6">
      <w:pPr>
        <w:jc w:val="center"/>
        <w:rPr>
          <w:rFonts w:ascii="Arial" w:hAnsi="Arial" w:cs="Arial"/>
          <w:b/>
          <w:bCs/>
          <w:sz w:val="36"/>
          <w:szCs w:val="36"/>
        </w:rPr>
      </w:pPr>
    </w:p>
    <w:p w14:paraId="21D3E610" w14:textId="77777777" w:rsidR="00481B0B" w:rsidRDefault="00481B0B" w:rsidP="005F20C6">
      <w:pPr>
        <w:jc w:val="center"/>
        <w:rPr>
          <w:rFonts w:ascii="Arial" w:hAnsi="Arial" w:cs="Arial"/>
          <w:b/>
          <w:bCs/>
          <w:sz w:val="36"/>
          <w:szCs w:val="36"/>
        </w:rPr>
      </w:pPr>
    </w:p>
    <w:p w14:paraId="4999BAFC" w14:textId="77777777" w:rsidR="00481B0B" w:rsidRDefault="00481B0B" w:rsidP="005F20C6">
      <w:pPr>
        <w:jc w:val="center"/>
        <w:rPr>
          <w:rFonts w:ascii="Arial" w:hAnsi="Arial" w:cs="Arial"/>
          <w:b/>
          <w:bCs/>
          <w:sz w:val="36"/>
          <w:szCs w:val="36"/>
        </w:rPr>
      </w:pPr>
    </w:p>
    <w:p w14:paraId="225D5959" w14:textId="77777777" w:rsidR="005F20C6" w:rsidRDefault="005F20C6" w:rsidP="005F20C6">
      <w:pPr>
        <w:jc w:val="center"/>
        <w:rPr>
          <w:rFonts w:ascii="Arial" w:hAnsi="Arial" w:cs="Arial"/>
          <w:b/>
          <w:bCs/>
          <w:sz w:val="36"/>
          <w:szCs w:val="36"/>
        </w:rPr>
      </w:pPr>
    </w:p>
    <w:p w14:paraId="22386BDC" w14:textId="77777777" w:rsidR="005F20C6" w:rsidRPr="005F20C6" w:rsidRDefault="005F20C6" w:rsidP="005F20C6">
      <w:pPr>
        <w:jc w:val="center"/>
        <w:rPr>
          <w:rFonts w:ascii="Arial" w:hAnsi="Arial" w:cs="Arial"/>
          <w:b/>
          <w:sz w:val="36"/>
          <w:szCs w:val="36"/>
        </w:rPr>
      </w:pPr>
    </w:p>
    <w:p w14:paraId="0D3C8140" w14:textId="77777777" w:rsidR="00524582" w:rsidRDefault="00677F71" w:rsidP="00DD30AE">
      <w:pPr>
        <w:autoSpaceDE w:val="0"/>
        <w:autoSpaceDN w:val="0"/>
        <w:adjustRightInd w:val="0"/>
        <w:spacing w:after="0" w:line="240" w:lineRule="auto"/>
        <w:ind w:left="15"/>
        <w:rPr>
          <w:rFonts w:ascii="Arial" w:hAnsi="Arial" w:cs="Arial"/>
          <w:bCs/>
          <w:sz w:val="24"/>
          <w:szCs w:val="24"/>
        </w:rPr>
        <w:sectPr w:rsidR="00524582" w:rsidSect="00524582">
          <w:headerReference w:type="default" r:id="rId8"/>
          <w:footerReference w:type="default" r:id="rId9"/>
          <w:pgSz w:w="11906" w:h="16838"/>
          <w:pgMar w:top="1418" w:right="1418" w:bottom="1418" w:left="1418" w:header="709" w:footer="709" w:gutter="0"/>
          <w:cols w:space="708"/>
          <w:docGrid w:linePitch="360"/>
        </w:sectPr>
      </w:pPr>
      <w:r w:rsidRPr="00481B0B">
        <w:rPr>
          <w:rFonts w:ascii="Arial" w:hAnsi="Arial" w:cs="Arial"/>
          <w:bCs/>
          <w:sz w:val="24"/>
          <w:szCs w:val="24"/>
        </w:rPr>
        <w:t>schválený na 411. zasedání Rady pro výzkum, vývoj a inovace dne 25. dubna 2025</w:t>
      </w:r>
    </w:p>
    <w:p w14:paraId="2A858F82" w14:textId="43E8DA2D" w:rsidR="00481B0B" w:rsidRPr="00481B0B" w:rsidRDefault="00481B0B" w:rsidP="00DD30AE">
      <w:pPr>
        <w:autoSpaceDE w:val="0"/>
        <w:autoSpaceDN w:val="0"/>
        <w:adjustRightInd w:val="0"/>
        <w:spacing w:after="0" w:line="240" w:lineRule="auto"/>
        <w:ind w:left="15"/>
        <w:rPr>
          <w:rFonts w:ascii="Arial" w:hAnsi="Arial" w:cs="Arial"/>
          <w:bCs/>
          <w:sz w:val="24"/>
          <w:szCs w:val="24"/>
        </w:rPr>
      </w:pPr>
    </w:p>
    <w:sdt>
      <w:sdtPr>
        <w:rPr>
          <w:bCs/>
        </w:rPr>
        <w:id w:val="1063989211"/>
        <w:docPartObj>
          <w:docPartGallery w:val="Table of Contents"/>
          <w:docPartUnique/>
        </w:docPartObj>
      </w:sdtPr>
      <w:sdtEndPr>
        <w:rPr>
          <w:b/>
          <w:bCs w:val="0"/>
        </w:rPr>
      </w:sdtEndPr>
      <w:sdtContent>
        <w:p w14:paraId="43078352" w14:textId="1BF524F5" w:rsidR="001C5D46" w:rsidRPr="00524582" w:rsidRDefault="001C5D46" w:rsidP="00524582">
          <w:pPr>
            <w:rPr>
              <w:b/>
              <w:bCs/>
              <w:sz w:val="28"/>
              <w:szCs w:val="28"/>
            </w:rPr>
          </w:pPr>
          <w:r w:rsidRPr="00524582">
            <w:rPr>
              <w:b/>
              <w:bCs/>
              <w:sz w:val="28"/>
              <w:szCs w:val="28"/>
            </w:rPr>
            <w:t>Obsah</w:t>
          </w:r>
        </w:p>
        <w:p w14:paraId="36450FE9" w14:textId="79D04834" w:rsidR="005B56E8" w:rsidRDefault="001C5D46">
          <w:pPr>
            <w:pStyle w:val="Obsah1"/>
            <w:tabs>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195184927" w:history="1">
            <w:r w:rsidR="005B56E8" w:rsidRPr="00C6697F">
              <w:rPr>
                <w:rStyle w:val="Hypertextovodkaz"/>
                <w:noProof/>
              </w:rPr>
              <w:t>Seznam zkratek</w:t>
            </w:r>
            <w:r w:rsidR="005B56E8">
              <w:rPr>
                <w:noProof/>
                <w:webHidden/>
              </w:rPr>
              <w:tab/>
            </w:r>
            <w:r w:rsidR="005B56E8">
              <w:rPr>
                <w:noProof/>
                <w:webHidden/>
              </w:rPr>
              <w:fldChar w:fldCharType="begin"/>
            </w:r>
            <w:r w:rsidR="005B56E8">
              <w:rPr>
                <w:noProof/>
                <w:webHidden/>
              </w:rPr>
              <w:instrText xml:space="preserve"> PAGEREF _Toc195184927 \h </w:instrText>
            </w:r>
            <w:r w:rsidR="005B56E8">
              <w:rPr>
                <w:noProof/>
                <w:webHidden/>
              </w:rPr>
            </w:r>
            <w:r w:rsidR="005B56E8">
              <w:rPr>
                <w:noProof/>
                <w:webHidden/>
              </w:rPr>
              <w:fldChar w:fldCharType="separate"/>
            </w:r>
            <w:r w:rsidR="00314CF5">
              <w:rPr>
                <w:noProof/>
                <w:webHidden/>
              </w:rPr>
              <w:t>3</w:t>
            </w:r>
            <w:r w:rsidR="005B56E8">
              <w:rPr>
                <w:noProof/>
                <w:webHidden/>
              </w:rPr>
              <w:fldChar w:fldCharType="end"/>
            </w:r>
          </w:hyperlink>
        </w:p>
        <w:p w14:paraId="12801C83" w14:textId="365A4BD1"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28" w:history="1">
            <w:r w:rsidRPr="00C6697F">
              <w:rPr>
                <w:rStyle w:val="Hypertextovodkaz"/>
                <w:noProof/>
              </w:rPr>
              <w:t>1</w:t>
            </w:r>
            <w:r>
              <w:rPr>
                <w:rFonts w:eastAsiaTheme="minorEastAsia"/>
                <w:noProof/>
                <w:kern w:val="2"/>
                <w:sz w:val="24"/>
                <w:szCs w:val="24"/>
                <w:lang w:eastAsia="cs-CZ"/>
                <w14:ligatures w14:val="standardContextual"/>
              </w:rPr>
              <w:tab/>
            </w:r>
            <w:r w:rsidRPr="00C6697F">
              <w:rPr>
                <w:rStyle w:val="Hypertextovodkaz"/>
                <w:noProof/>
              </w:rPr>
              <w:t>Úvod</w:t>
            </w:r>
            <w:r>
              <w:rPr>
                <w:noProof/>
                <w:webHidden/>
              </w:rPr>
              <w:tab/>
            </w:r>
            <w:r>
              <w:rPr>
                <w:noProof/>
                <w:webHidden/>
              </w:rPr>
              <w:fldChar w:fldCharType="begin"/>
            </w:r>
            <w:r>
              <w:rPr>
                <w:noProof/>
                <w:webHidden/>
              </w:rPr>
              <w:instrText xml:space="preserve"> PAGEREF _Toc195184928 \h </w:instrText>
            </w:r>
            <w:r>
              <w:rPr>
                <w:noProof/>
                <w:webHidden/>
              </w:rPr>
            </w:r>
            <w:r>
              <w:rPr>
                <w:noProof/>
                <w:webHidden/>
              </w:rPr>
              <w:fldChar w:fldCharType="separate"/>
            </w:r>
            <w:r w:rsidR="00314CF5">
              <w:rPr>
                <w:noProof/>
                <w:webHidden/>
              </w:rPr>
              <w:t>4</w:t>
            </w:r>
            <w:r>
              <w:rPr>
                <w:noProof/>
                <w:webHidden/>
              </w:rPr>
              <w:fldChar w:fldCharType="end"/>
            </w:r>
          </w:hyperlink>
        </w:p>
        <w:p w14:paraId="57D29046" w14:textId="64D7D444"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29" w:history="1">
            <w:r w:rsidRPr="00C6697F">
              <w:rPr>
                <w:rStyle w:val="Hypertextovodkaz"/>
                <w:noProof/>
              </w:rPr>
              <w:t>2</w:t>
            </w:r>
            <w:r>
              <w:rPr>
                <w:rFonts w:eastAsiaTheme="minorEastAsia"/>
                <w:noProof/>
                <w:kern w:val="2"/>
                <w:sz w:val="24"/>
                <w:szCs w:val="24"/>
                <w:lang w:eastAsia="cs-CZ"/>
                <w14:ligatures w14:val="standardContextual"/>
              </w:rPr>
              <w:tab/>
            </w:r>
            <w:r w:rsidRPr="00C6697F">
              <w:rPr>
                <w:rStyle w:val="Hypertextovodkaz"/>
                <w:noProof/>
              </w:rPr>
              <w:t>Platná legislativa</w:t>
            </w:r>
            <w:r>
              <w:rPr>
                <w:noProof/>
                <w:webHidden/>
              </w:rPr>
              <w:tab/>
            </w:r>
            <w:r>
              <w:rPr>
                <w:noProof/>
                <w:webHidden/>
              </w:rPr>
              <w:fldChar w:fldCharType="begin"/>
            </w:r>
            <w:r>
              <w:rPr>
                <w:noProof/>
                <w:webHidden/>
              </w:rPr>
              <w:instrText xml:space="preserve"> PAGEREF _Toc195184929 \h </w:instrText>
            </w:r>
            <w:r>
              <w:rPr>
                <w:noProof/>
                <w:webHidden/>
              </w:rPr>
            </w:r>
            <w:r>
              <w:rPr>
                <w:noProof/>
                <w:webHidden/>
              </w:rPr>
              <w:fldChar w:fldCharType="separate"/>
            </w:r>
            <w:r w:rsidR="00314CF5">
              <w:rPr>
                <w:noProof/>
                <w:webHidden/>
              </w:rPr>
              <w:t>5</w:t>
            </w:r>
            <w:r>
              <w:rPr>
                <w:noProof/>
                <w:webHidden/>
              </w:rPr>
              <w:fldChar w:fldCharType="end"/>
            </w:r>
          </w:hyperlink>
        </w:p>
        <w:p w14:paraId="43F5C098" w14:textId="07FDE069"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30" w:history="1">
            <w:r w:rsidRPr="00C6697F">
              <w:rPr>
                <w:rStyle w:val="Hypertextovodkaz"/>
                <w:noProof/>
              </w:rPr>
              <w:t>3</w:t>
            </w:r>
            <w:r>
              <w:rPr>
                <w:rFonts w:eastAsiaTheme="minorEastAsia"/>
                <w:noProof/>
                <w:kern w:val="2"/>
                <w:sz w:val="24"/>
                <w:szCs w:val="24"/>
                <w:lang w:eastAsia="cs-CZ"/>
                <w14:ligatures w14:val="standardContextual"/>
              </w:rPr>
              <w:tab/>
            </w:r>
            <w:r w:rsidRPr="00C6697F">
              <w:rPr>
                <w:rStyle w:val="Hypertextovodkaz"/>
                <w:noProof/>
              </w:rPr>
              <w:t>Nástroje pro zajištění metodické a koordinační role ÚV-SVVI</w:t>
            </w:r>
            <w:r>
              <w:rPr>
                <w:noProof/>
                <w:webHidden/>
              </w:rPr>
              <w:tab/>
            </w:r>
            <w:r>
              <w:rPr>
                <w:noProof/>
                <w:webHidden/>
              </w:rPr>
              <w:fldChar w:fldCharType="begin"/>
            </w:r>
            <w:r>
              <w:rPr>
                <w:noProof/>
                <w:webHidden/>
              </w:rPr>
              <w:instrText xml:space="preserve"> PAGEREF _Toc195184930 \h </w:instrText>
            </w:r>
            <w:r>
              <w:rPr>
                <w:noProof/>
                <w:webHidden/>
              </w:rPr>
            </w:r>
            <w:r>
              <w:rPr>
                <w:noProof/>
                <w:webHidden/>
              </w:rPr>
              <w:fldChar w:fldCharType="separate"/>
            </w:r>
            <w:r w:rsidR="00314CF5">
              <w:rPr>
                <w:noProof/>
                <w:webHidden/>
              </w:rPr>
              <w:t>6</w:t>
            </w:r>
            <w:r>
              <w:rPr>
                <w:noProof/>
                <w:webHidden/>
              </w:rPr>
              <w:fldChar w:fldCharType="end"/>
            </w:r>
          </w:hyperlink>
        </w:p>
        <w:p w14:paraId="45EA6807" w14:textId="2317801F"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1" w:history="1">
            <w:r w:rsidRPr="00C6697F">
              <w:rPr>
                <w:rStyle w:val="Hypertextovodkaz"/>
                <w:rFonts w:cstheme="minorHAnsi"/>
                <w:noProof/>
              </w:rPr>
              <w:t>3.1</w:t>
            </w:r>
            <w:r>
              <w:rPr>
                <w:rFonts w:eastAsiaTheme="minorEastAsia"/>
                <w:noProof/>
                <w:kern w:val="2"/>
                <w:sz w:val="24"/>
                <w:szCs w:val="24"/>
                <w:lang w:eastAsia="cs-CZ"/>
                <w14:ligatures w14:val="standardContextual"/>
              </w:rPr>
              <w:tab/>
            </w:r>
            <w:r w:rsidRPr="00C6697F">
              <w:rPr>
                <w:rStyle w:val="Hypertextovodkaz"/>
                <w:noProof/>
              </w:rPr>
              <w:t>Vytvoření harmonizační a metodické jednotky na centrální úrovni</w:t>
            </w:r>
            <w:r>
              <w:rPr>
                <w:noProof/>
                <w:webHidden/>
              </w:rPr>
              <w:tab/>
            </w:r>
            <w:r>
              <w:rPr>
                <w:noProof/>
                <w:webHidden/>
              </w:rPr>
              <w:fldChar w:fldCharType="begin"/>
            </w:r>
            <w:r>
              <w:rPr>
                <w:noProof/>
                <w:webHidden/>
              </w:rPr>
              <w:instrText xml:space="preserve"> PAGEREF _Toc195184931 \h </w:instrText>
            </w:r>
            <w:r>
              <w:rPr>
                <w:noProof/>
                <w:webHidden/>
              </w:rPr>
            </w:r>
            <w:r>
              <w:rPr>
                <w:noProof/>
                <w:webHidden/>
              </w:rPr>
              <w:fldChar w:fldCharType="separate"/>
            </w:r>
            <w:r w:rsidR="00314CF5">
              <w:rPr>
                <w:noProof/>
                <w:webHidden/>
              </w:rPr>
              <w:t>6</w:t>
            </w:r>
            <w:r>
              <w:rPr>
                <w:noProof/>
                <w:webHidden/>
              </w:rPr>
              <w:fldChar w:fldCharType="end"/>
            </w:r>
          </w:hyperlink>
        </w:p>
        <w:p w14:paraId="4CA5A218" w14:textId="371098FD"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2" w:history="1">
            <w:r w:rsidRPr="00C6697F">
              <w:rPr>
                <w:rStyle w:val="Hypertextovodkaz"/>
                <w:rFonts w:cstheme="minorHAnsi"/>
                <w:noProof/>
              </w:rPr>
              <w:t>3.2</w:t>
            </w:r>
            <w:r>
              <w:rPr>
                <w:rFonts w:eastAsiaTheme="minorEastAsia"/>
                <w:noProof/>
                <w:kern w:val="2"/>
                <w:sz w:val="24"/>
                <w:szCs w:val="24"/>
                <w:lang w:eastAsia="cs-CZ"/>
                <w14:ligatures w14:val="standardContextual"/>
              </w:rPr>
              <w:tab/>
            </w:r>
            <w:r w:rsidRPr="00C6697F">
              <w:rPr>
                <w:rStyle w:val="Hypertextovodkaz"/>
                <w:noProof/>
              </w:rPr>
              <w:t>Komunikačně metodická platforma</w:t>
            </w:r>
            <w:r>
              <w:rPr>
                <w:noProof/>
                <w:webHidden/>
              </w:rPr>
              <w:tab/>
            </w:r>
            <w:r>
              <w:rPr>
                <w:noProof/>
                <w:webHidden/>
              </w:rPr>
              <w:fldChar w:fldCharType="begin"/>
            </w:r>
            <w:r>
              <w:rPr>
                <w:noProof/>
                <w:webHidden/>
              </w:rPr>
              <w:instrText xml:space="preserve"> PAGEREF _Toc195184932 \h </w:instrText>
            </w:r>
            <w:r>
              <w:rPr>
                <w:noProof/>
                <w:webHidden/>
              </w:rPr>
            </w:r>
            <w:r>
              <w:rPr>
                <w:noProof/>
                <w:webHidden/>
              </w:rPr>
              <w:fldChar w:fldCharType="separate"/>
            </w:r>
            <w:r w:rsidR="00314CF5">
              <w:rPr>
                <w:noProof/>
                <w:webHidden/>
              </w:rPr>
              <w:t>6</w:t>
            </w:r>
            <w:r>
              <w:rPr>
                <w:noProof/>
                <w:webHidden/>
              </w:rPr>
              <w:fldChar w:fldCharType="end"/>
            </w:r>
          </w:hyperlink>
        </w:p>
        <w:p w14:paraId="09484C7D" w14:textId="15B7AF4B"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33" w:history="1">
            <w:r w:rsidRPr="00C6697F">
              <w:rPr>
                <w:rStyle w:val="Hypertextovodkaz"/>
                <w:noProof/>
              </w:rPr>
              <w:t>4</w:t>
            </w:r>
            <w:r>
              <w:rPr>
                <w:rFonts w:eastAsiaTheme="minorEastAsia"/>
                <w:noProof/>
                <w:kern w:val="2"/>
                <w:sz w:val="24"/>
                <w:szCs w:val="24"/>
                <w:lang w:eastAsia="cs-CZ"/>
                <w14:ligatures w14:val="standardContextual"/>
              </w:rPr>
              <w:tab/>
            </w:r>
            <w:r w:rsidRPr="00C6697F">
              <w:rPr>
                <w:rStyle w:val="Hypertextovodkaz"/>
                <w:noProof/>
              </w:rPr>
              <w:t>Programy účelové podpory</w:t>
            </w:r>
            <w:r>
              <w:rPr>
                <w:noProof/>
                <w:webHidden/>
              </w:rPr>
              <w:tab/>
            </w:r>
            <w:r>
              <w:rPr>
                <w:noProof/>
                <w:webHidden/>
              </w:rPr>
              <w:fldChar w:fldCharType="begin"/>
            </w:r>
            <w:r>
              <w:rPr>
                <w:noProof/>
                <w:webHidden/>
              </w:rPr>
              <w:instrText xml:space="preserve"> PAGEREF _Toc195184933 \h </w:instrText>
            </w:r>
            <w:r>
              <w:rPr>
                <w:noProof/>
                <w:webHidden/>
              </w:rPr>
            </w:r>
            <w:r>
              <w:rPr>
                <w:noProof/>
                <w:webHidden/>
              </w:rPr>
              <w:fldChar w:fldCharType="separate"/>
            </w:r>
            <w:r w:rsidR="00314CF5">
              <w:rPr>
                <w:noProof/>
                <w:webHidden/>
              </w:rPr>
              <w:t>7</w:t>
            </w:r>
            <w:r>
              <w:rPr>
                <w:noProof/>
                <w:webHidden/>
              </w:rPr>
              <w:fldChar w:fldCharType="end"/>
            </w:r>
          </w:hyperlink>
        </w:p>
        <w:p w14:paraId="35AAFBC0" w14:textId="69BA29B2"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4" w:history="1">
            <w:r w:rsidRPr="00C6697F">
              <w:rPr>
                <w:rStyle w:val="Hypertextovodkaz"/>
                <w:rFonts w:cstheme="minorHAnsi"/>
                <w:noProof/>
              </w:rPr>
              <w:t>4.1</w:t>
            </w:r>
            <w:r>
              <w:rPr>
                <w:rFonts w:eastAsiaTheme="minorEastAsia"/>
                <w:noProof/>
                <w:kern w:val="2"/>
                <w:sz w:val="24"/>
                <w:szCs w:val="24"/>
                <w:lang w:eastAsia="cs-CZ"/>
                <w14:ligatures w14:val="standardContextual"/>
              </w:rPr>
              <w:tab/>
            </w:r>
            <w:r w:rsidRPr="00C6697F">
              <w:rPr>
                <w:rStyle w:val="Hypertextovodkaz"/>
                <w:noProof/>
              </w:rPr>
              <w:t>Příprava a schválení programu účelové podpory</w:t>
            </w:r>
            <w:r>
              <w:rPr>
                <w:noProof/>
                <w:webHidden/>
              </w:rPr>
              <w:tab/>
            </w:r>
            <w:r>
              <w:rPr>
                <w:noProof/>
                <w:webHidden/>
              </w:rPr>
              <w:fldChar w:fldCharType="begin"/>
            </w:r>
            <w:r>
              <w:rPr>
                <w:noProof/>
                <w:webHidden/>
              </w:rPr>
              <w:instrText xml:space="preserve"> PAGEREF _Toc195184934 \h </w:instrText>
            </w:r>
            <w:r>
              <w:rPr>
                <w:noProof/>
                <w:webHidden/>
              </w:rPr>
            </w:r>
            <w:r>
              <w:rPr>
                <w:noProof/>
                <w:webHidden/>
              </w:rPr>
              <w:fldChar w:fldCharType="separate"/>
            </w:r>
            <w:r w:rsidR="00314CF5">
              <w:rPr>
                <w:noProof/>
                <w:webHidden/>
              </w:rPr>
              <w:t>7</w:t>
            </w:r>
            <w:r>
              <w:rPr>
                <w:noProof/>
                <w:webHidden/>
              </w:rPr>
              <w:fldChar w:fldCharType="end"/>
            </w:r>
          </w:hyperlink>
        </w:p>
        <w:p w14:paraId="7B88D242" w14:textId="3E944820"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5" w:history="1">
            <w:r w:rsidRPr="00C6697F">
              <w:rPr>
                <w:rStyle w:val="Hypertextovodkaz"/>
                <w:rFonts w:cstheme="minorHAnsi"/>
                <w:noProof/>
              </w:rPr>
              <w:t>4.2</w:t>
            </w:r>
            <w:r>
              <w:rPr>
                <w:rFonts w:eastAsiaTheme="minorEastAsia"/>
                <w:noProof/>
                <w:kern w:val="2"/>
                <w:sz w:val="24"/>
                <w:szCs w:val="24"/>
                <w:lang w:eastAsia="cs-CZ"/>
                <w14:ligatures w14:val="standardContextual"/>
              </w:rPr>
              <w:tab/>
            </w:r>
            <w:r w:rsidRPr="00C6697F">
              <w:rPr>
                <w:rStyle w:val="Hypertextovodkaz"/>
                <w:noProof/>
              </w:rPr>
              <w:t>Monitorování a evaluace (ex-ante hodnocení) programů</w:t>
            </w:r>
            <w:r>
              <w:rPr>
                <w:noProof/>
                <w:webHidden/>
              </w:rPr>
              <w:tab/>
            </w:r>
            <w:r>
              <w:rPr>
                <w:noProof/>
                <w:webHidden/>
              </w:rPr>
              <w:fldChar w:fldCharType="begin"/>
            </w:r>
            <w:r>
              <w:rPr>
                <w:noProof/>
                <w:webHidden/>
              </w:rPr>
              <w:instrText xml:space="preserve"> PAGEREF _Toc195184935 \h </w:instrText>
            </w:r>
            <w:r>
              <w:rPr>
                <w:noProof/>
                <w:webHidden/>
              </w:rPr>
            </w:r>
            <w:r>
              <w:rPr>
                <w:noProof/>
                <w:webHidden/>
              </w:rPr>
              <w:fldChar w:fldCharType="separate"/>
            </w:r>
            <w:r w:rsidR="00314CF5">
              <w:rPr>
                <w:noProof/>
                <w:webHidden/>
              </w:rPr>
              <w:t>8</w:t>
            </w:r>
            <w:r>
              <w:rPr>
                <w:noProof/>
                <w:webHidden/>
              </w:rPr>
              <w:fldChar w:fldCharType="end"/>
            </w:r>
          </w:hyperlink>
        </w:p>
        <w:p w14:paraId="4AF72231" w14:textId="54AD5E9C"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36" w:history="1">
            <w:r w:rsidRPr="00C6697F">
              <w:rPr>
                <w:rStyle w:val="Hypertextovodkaz"/>
                <w:noProof/>
              </w:rPr>
              <w:t>5</w:t>
            </w:r>
            <w:r>
              <w:rPr>
                <w:rFonts w:eastAsiaTheme="minorEastAsia"/>
                <w:noProof/>
                <w:kern w:val="2"/>
                <w:sz w:val="24"/>
                <w:szCs w:val="24"/>
                <w:lang w:eastAsia="cs-CZ"/>
                <w14:ligatures w14:val="standardContextual"/>
              </w:rPr>
              <w:tab/>
            </w:r>
            <w:r w:rsidRPr="00C6697F">
              <w:rPr>
                <w:rStyle w:val="Hypertextovodkaz"/>
                <w:noProof/>
              </w:rPr>
              <w:t>Veřejné soutěže a veřejné zakázky programů účelové podpory</w:t>
            </w:r>
            <w:r>
              <w:rPr>
                <w:noProof/>
                <w:webHidden/>
              </w:rPr>
              <w:tab/>
            </w:r>
            <w:r>
              <w:rPr>
                <w:noProof/>
                <w:webHidden/>
              </w:rPr>
              <w:fldChar w:fldCharType="begin"/>
            </w:r>
            <w:r>
              <w:rPr>
                <w:noProof/>
                <w:webHidden/>
              </w:rPr>
              <w:instrText xml:space="preserve"> PAGEREF _Toc195184936 \h </w:instrText>
            </w:r>
            <w:r>
              <w:rPr>
                <w:noProof/>
                <w:webHidden/>
              </w:rPr>
            </w:r>
            <w:r>
              <w:rPr>
                <w:noProof/>
                <w:webHidden/>
              </w:rPr>
              <w:fldChar w:fldCharType="separate"/>
            </w:r>
            <w:r w:rsidR="00314CF5">
              <w:rPr>
                <w:noProof/>
                <w:webHidden/>
              </w:rPr>
              <w:t>11</w:t>
            </w:r>
            <w:r>
              <w:rPr>
                <w:noProof/>
                <w:webHidden/>
              </w:rPr>
              <w:fldChar w:fldCharType="end"/>
            </w:r>
          </w:hyperlink>
        </w:p>
        <w:p w14:paraId="05E78127" w14:textId="49710F52"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7" w:history="1">
            <w:r w:rsidRPr="00C6697F">
              <w:rPr>
                <w:rStyle w:val="Hypertextovodkaz"/>
                <w:rFonts w:cstheme="minorHAnsi"/>
                <w:noProof/>
              </w:rPr>
              <w:t>5.1</w:t>
            </w:r>
            <w:r>
              <w:rPr>
                <w:rFonts w:eastAsiaTheme="minorEastAsia"/>
                <w:noProof/>
                <w:kern w:val="2"/>
                <w:sz w:val="24"/>
                <w:szCs w:val="24"/>
                <w:lang w:eastAsia="cs-CZ"/>
                <w14:ligatures w14:val="standardContextual"/>
              </w:rPr>
              <w:tab/>
            </w:r>
            <w:r w:rsidRPr="00C6697F">
              <w:rPr>
                <w:rStyle w:val="Hypertextovodkaz"/>
                <w:rFonts w:cstheme="minorHAnsi"/>
                <w:noProof/>
              </w:rPr>
              <w:t>Veřejné soutěže realizované v rámci programů účelové podpory</w:t>
            </w:r>
            <w:r>
              <w:rPr>
                <w:noProof/>
                <w:webHidden/>
              </w:rPr>
              <w:tab/>
            </w:r>
            <w:r>
              <w:rPr>
                <w:noProof/>
                <w:webHidden/>
              </w:rPr>
              <w:fldChar w:fldCharType="begin"/>
            </w:r>
            <w:r>
              <w:rPr>
                <w:noProof/>
                <w:webHidden/>
              </w:rPr>
              <w:instrText xml:space="preserve"> PAGEREF _Toc195184937 \h </w:instrText>
            </w:r>
            <w:r>
              <w:rPr>
                <w:noProof/>
                <w:webHidden/>
              </w:rPr>
            </w:r>
            <w:r>
              <w:rPr>
                <w:noProof/>
                <w:webHidden/>
              </w:rPr>
              <w:fldChar w:fldCharType="separate"/>
            </w:r>
            <w:r w:rsidR="00314CF5">
              <w:rPr>
                <w:noProof/>
                <w:webHidden/>
              </w:rPr>
              <w:t>11</w:t>
            </w:r>
            <w:r>
              <w:rPr>
                <w:noProof/>
                <w:webHidden/>
              </w:rPr>
              <w:fldChar w:fldCharType="end"/>
            </w:r>
          </w:hyperlink>
        </w:p>
        <w:p w14:paraId="7F935BF1" w14:textId="3A3DA48B"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39" w:history="1">
            <w:r w:rsidRPr="00C6697F">
              <w:rPr>
                <w:rStyle w:val="Hypertextovodkaz"/>
                <w:rFonts w:cstheme="minorHAnsi"/>
                <w:noProof/>
              </w:rPr>
              <w:t>5.2</w:t>
            </w:r>
            <w:r>
              <w:rPr>
                <w:rFonts w:eastAsiaTheme="minorEastAsia"/>
                <w:noProof/>
                <w:kern w:val="2"/>
                <w:sz w:val="24"/>
                <w:szCs w:val="24"/>
                <w:lang w:eastAsia="cs-CZ"/>
                <w14:ligatures w14:val="standardContextual"/>
              </w:rPr>
              <w:tab/>
            </w:r>
            <w:r w:rsidRPr="00C6697F">
              <w:rPr>
                <w:rStyle w:val="Hypertextovodkaz"/>
                <w:rFonts w:cstheme="minorHAnsi"/>
                <w:noProof/>
              </w:rPr>
              <w:t>Vyhlášení veřejné soutěže</w:t>
            </w:r>
            <w:r>
              <w:rPr>
                <w:noProof/>
                <w:webHidden/>
              </w:rPr>
              <w:tab/>
            </w:r>
            <w:r>
              <w:rPr>
                <w:noProof/>
                <w:webHidden/>
              </w:rPr>
              <w:fldChar w:fldCharType="begin"/>
            </w:r>
            <w:r>
              <w:rPr>
                <w:noProof/>
                <w:webHidden/>
              </w:rPr>
              <w:instrText xml:space="preserve"> PAGEREF _Toc195184939 \h </w:instrText>
            </w:r>
            <w:r>
              <w:rPr>
                <w:noProof/>
                <w:webHidden/>
              </w:rPr>
            </w:r>
            <w:r>
              <w:rPr>
                <w:noProof/>
                <w:webHidden/>
              </w:rPr>
              <w:fldChar w:fldCharType="separate"/>
            </w:r>
            <w:r w:rsidR="00314CF5">
              <w:rPr>
                <w:noProof/>
                <w:webHidden/>
              </w:rPr>
              <w:t>13</w:t>
            </w:r>
            <w:r>
              <w:rPr>
                <w:noProof/>
                <w:webHidden/>
              </w:rPr>
              <w:fldChar w:fldCharType="end"/>
            </w:r>
          </w:hyperlink>
        </w:p>
        <w:p w14:paraId="221683EE" w14:textId="72506CDE"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41" w:history="1">
            <w:r w:rsidRPr="00C6697F">
              <w:rPr>
                <w:rStyle w:val="Hypertextovodkaz"/>
                <w:rFonts w:cstheme="minorHAnsi"/>
                <w:noProof/>
              </w:rPr>
              <w:t>5.3</w:t>
            </w:r>
            <w:r>
              <w:rPr>
                <w:rFonts w:eastAsiaTheme="minorEastAsia"/>
                <w:noProof/>
                <w:kern w:val="2"/>
                <w:sz w:val="24"/>
                <w:szCs w:val="24"/>
                <w:lang w:eastAsia="cs-CZ"/>
                <w14:ligatures w14:val="standardContextual"/>
              </w:rPr>
              <w:tab/>
            </w:r>
            <w:r w:rsidRPr="00C6697F">
              <w:rPr>
                <w:rStyle w:val="Hypertextovodkaz"/>
                <w:noProof/>
              </w:rPr>
              <w:t>Struktura projektové žádosti</w:t>
            </w:r>
            <w:r>
              <w:rPr>
                <w:noProof/>
                <w:webHidden/>
              </w:rPr>
              <w:tab/>
            </w:r>
            <w:r>
              <w:rPr>
                <w:noProof/>
                <w:webHidden/>
              </w:rPr>
              <w:fldChar w:fldCharType="begin"/>
            </w:r>
            <w:r>
              <w:rPr>
                <w:noProof/>
                <w:webHidden/>
              </w:rPr>
              <w:instrText xml:space="preserve"> PAGEREF _Toc195184941 \h </w:instrText>
            </w:r>
            <w:r>
              <w:rPr>
                <w:noProof/>
                <w:webHidden/>
              </w:rPr>
            </w:r>
            <w:r>
              <w:rPr>
                <w:noProof/>
                <w:webHidden/>
              </w:rPr>
              <w:fldChar w:fldCharType="separate"/>
            </w:r>
            <w:r w:rsidR="00314CF5">
              <w:rPr>
                <w:noProof/>
                <w:webHidden/>
              </w:rPr>
              <w:t>13</w:t>
            </w:r>
            <w:r>
              <w:rPr>
                <w:noProof/>
                <w:webHidden/>
              </w:rPr>
              <w:fldChar w:fldCharType="end"/>
            </w:r>
          </w:hyperlink>
        </w:p>
        <w:p w14:paraId="54D014EE" w14:textId="2BA423D0"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42" w:history="1">
            <w:r w:rsidRPr="00C6697F">
              <w:rPr>
                <w:rStyle w:val="Hypertextovodkaz"/>
                <w:rFonts w:cstheme="minorHAnsi"/>
                <w:noProof/>
              </w:rPr>
              <w:t>5.4</w:t>
            </w:r>
            <w:r>
              <w:rPr>
                <w:rFonts w:eastAsiaTheme="minorEastAsia"/>
                <w:noProof/>
                <w:kern w:val="2"/>
                <w:sz w:val="24"/>
                <w:szCs w:val="24"/>
                <w:lang w:eastAsia="cs-CZ"/>
                <w14:ligatures w14:val="standardContextual"/>
              </w:rPr>
              <w:tab/>
            </w:r>
            <w:r w:rsidRPr="00C6697F">
              <w:rPr>
                <w:rStyle w:val="Hypertextovodkaz"/>
                <w:noProof/>
              </w:rPr>
              <w:t>Další návrhy pro snižování administrativní náročnosti přípravy projektových žádostí</w:t>
            </w:r>
            <w:r>
              <w:rPr>
                <w:noProof/>
                <w:webHidden/>
              </w:rPr>
              <w:tab/>
            </w:r>
            <w:r>
              <w:rPr>
                <w:noProof/>
                <w:webHidden/>
              </w:rPr>
              <w:fldChar w:fldCharType="begin"/>
            </w:r>
            <w:r>
              <w:rPr>
                <w:noProof/>
                <w:webHidden/>
              </w:rPr>
              <w:instrText xml:space="preserve"> PAGEREF _Toc195184942 \h </w:instrText>
            </w:r>
            <w:r>
              <w:rPr>
                <w:noProof/>
                <w:webHidden/>
              </w:rPr>
            </w:r>
            <w:r>
              <w:rPr>
                <w:noProof/>
                <w:webHidden/>
              </w:rPr>
              <w:fldChar w:fldCharType="separate"/>
            </w:r>
            <w:r w:rsidR="00314CF5">
              <w:rPr>
                <w:noProof/>
                <w:webHidden/>
              </w:rPr>
              <w:t>15</w:t>
            </w:r>
            <w:r>
              <w:rPr>
                <w:noProof/>
                <w:webHidden/>
              </w:rPr>
              <w:fldChar w:fldCharType="end"/>
            </w:r>
          </w:hyperlink>
        </w:p>
        <w:p w14:paraId="4DBFD5A3" w14:textId="7EC66819"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43" w:history="1">
            <w:r w:rsidRPr="00C6697F">
              <w:rPr>
                <w:rStyle w:val="Hypertextovodkaz"/>
                <w:noProof/>
              </w:rPr>
              <w:t>6</w:t>
            </w:r>
            <w:r>
              <w:rPr>
                <w:rFonts w:eastAsiaTheme="minorEastAsia"/>
                <w:noProof/>
                <w:kern w:val="2"/>
                <w:sz w:val="24"/>
                <w:szCs w:val="24"/>
                <w:lang w:eastAsia="cs-CZ"/>
                <w14:ligatures w14:val="standardContextual"/>
              </w:rPr>
              <w:tab/>
            </w:r>
            <w:r w:rsidRPr="00C6697F">
              <w:rPr>
                <w:rStyle w:val="Hypertextovodkaz"/>
                <w:noProof/>
              </w:rPr>
              <w:t>Hodnocení a práce s hodnotiteli</w:t>
            </w:r>
            <w:r>
              <w:rPr>
                <w:noProof/>
                <w:webHidden/>
              </w:rPr>
              <w:tab/>
            </w:r>
            <w:r>
              <w:rPr>
                <w:noProof/>
                <w:webHidden/>
              </w:rPr>
              <w:fldChar w:fldCharType="begin"/>
            </w:r>
            <w:r>
              <w:rPr>
                <w:noProof/>
                <w:webHidden/>
              </w:rPr>
              <w:instrText xml:space="preserve"> PAGEREF _Toc195184943 \h </w:instrText>
            </w:r>
            <w:r>
              <w:rPr>
                <w:noProof/>
                <w:webHidden/>
              </w:rPr>
            </w:r>
            <w:r>
              <w:rPr>
                <w:noProof/>
                <w:webHidden/>
              </w:rPr>
              <w:fldChar w:fldCharType="separate"/>
            </w:r>
            <w:r w:rsidR="00314CF5">
              <w:rPr>
                <w:noProof/>
                <w:webHidden/>
              </w:rPr>
              <w:t>17</w:t>
            </w:r>
            <w:r>
              <w:rPr>
                <w:noProof/>
                <w:webHidden/>
              </w:rPr>
              <w:fldChar w:fldCharType="end"/>
            </w:r>
          </w:hyperlink>
        </w:p>
        <w:p w14:paraId="5373ACA0" w14:textId="47B57249" w:rsidR="005B56E8" w:rsidRDefault="005B56E8">
          <w:pPr>
            <w:pStyle w:val="Obsah2"/>
            <w:tabs>
              <w:tab w:val="right" w:leader="dot" w:pos="9062"/>
            </w:tabs>
            <w:rPr>
              <w:rFonts w:eastAsiaTheme="minorEastAsia"/>
              <w:noProof/>
              <w:kern w:val="2"/>
              <w:sz w:val="24"/>
              <w:szCs w:val="24"/>
              <w:lang w:eastAsia="cs-CZ"/>
              <w14:ligatures w14:val="standardContextual"/>
            </w:rPr>
          </w:pPr>
          <w:hyperlink w:anchor="_Toc195184944" w:history="1">
            <w:r w:rsidRPr="00C6697F">
              <w:rPr>
                <w:rStyle w:val="Hypertextovodkaz"/>
                <w:noProof/>
              </w:rPr>
              <w:t>6.1 Přijímání a hodnocení návrhů projektů</w:t>
            </w:r>
            <w:r>
              <w:rPr>
                <w:noProof/>
                <w:webHidden/>
              </w:rPr>
              <w:tab/>
            </w:r>
            <w:r>
              <w:rPr>
                <w:noProof/>
                <w:webHidden/>
              </w:rPr>
              <w:fldChar w:fldCharType="begin"/>
            </w:r>
            <w:r>
              <w:rPr>
                <w:noProof/>
                <w:webHidden/>
              </w:rPr>
              <w:instrText xml:space="preserve"> PAGEREF _Toc195184944 \h </w:instrText>
            </w:r>
            <w:r>
              <w:rPr>
                <w:noProof/>
                <w:webHidden/>
              </w:rPr>
            </w:r>
            <w:r>
              <w:rPr>
                <w:noProof/>
                <w:webHidden/>
              </w:rPr>
              <w:fldChar w:fldCharType="separate"/>
            </w:r>
            <w:r w:rsidR="00314CF5">
              <w:rPr>
                <w:noProof/>
                <w:webHidden/>
              </w:rPr>
              <w:t>17</w:t>
            </w:r>
            <w:r>
              <w:rPr>
                <w:noProof/>
                <w:webHidden/>
              </w:rPr>
              <w:fldChar w:fldCharType="end"/>
            </w:r>
          </w:hyperlink>
        </w:p>
        <w:p w14:paraId="4773903E" w14:textId="19237E09"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47" w:history="1">
            <w:r w:rsidRPr="00C6697F">
              <w:rPr>
                <w:rStyle w:val="Hypertextovodkaz"/>
                <w:noProof/>
              </w:rPr>
              <w:t>7</w:t>
            </w:r>
            <w:r>
              <w:rPr>
                <w:rFonts w:eastAsiaTheme="minorEastAsia"/>
                <w:noProof/>
                <w:kern w:val="2"/>
                <w:sz w:val="24"/>
                <w:szCs w:val="24"/>
                <w:lang w:eastAsia="cs-CZ"/>
                <w14:ligatures w14:val="standardContextual"/>
              </w:rPr>
              <w:tab/>
            </w:r>
            <w:r w:rsidRPr="00C6697F">
              <w:rPr>
                <w:rStyle w:val="Hypertextovodkaz"/>
                <w:noProof/>
              </w:rPr>
              <w:t>Realizace projektů</w:t>
            </w:r>
            <w:r>
              <w:rPr>
                <w:noProof/>
                <w:webHidden/>
              </w:rPr>
              <w:tab/>
            </w:r>
            <w:r>
              <w:rPr>
                <w:noProof/>
                <w:webHidden/>
              </w:rPr>
              <w:fldChar w:fldCharType="begin"/>
            </w:r>
            <w:r>
              <w:rPr>
                <w:noProof/>
                <w:webHidden/>
              </w:rPr>
              <w:instrText xml:space="preserve"> PAGEREF _Toc195184947 \h </w:instrText>
            </w:r>
            <w:r>
              <w:rPr>
                <w:noProof/>
                <w:webHidden/>
              </w:rPr>
            </w:r>
            <w:r>
              <w:rPr>
                <w:noProof/>
                <w:webHidden/>
              </w:rPr>
              <w:fldChar w:fldCharType="separate"/>
            </w:r>
            <w:r w:rsidR="00314CF5">
              <w:rPr>
                <w:noProof/>
                <w:webHidden/>
              </w:rPr>
              <w:t>20</w:t>
            </w:r>
            <w:r>
              <w:rPr>
                <w:noProof/>
                <w:webHidden/>
              </w:rPr>
              <w:fldChar w:fldCharType="end"/>
            </w:r>
          </w:hyperlink>
        </w:p>
        <w:p w14:paraId="377175A3" w14:textId="33539002"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48" w:history="1">
            <w:r w:rsidRPr="00C6697F">
              <w:rPr>
                <w:rStyle w:val="Hypertextovodkaz"/>
                <w:noProof/>
              </w:rPr>
              <w:t>7.1</w:t>
            </w:r>
            <w:r>
              <w:rPr>
                <w:rFonts w:eastAsiaTheme="minorEastAsia"/>
                <w:noProof/>
                <w:kern w:val="2"/>
                <w:sz w:val="24"/>
                <w:szCs w:val="24"/>
                <w:lang w:eastAsia="cs-CZ"/>
                <w14:ligatures w14:val="standardContextual"/>
              </w:rPr>
              <w:tab/>
            </w:r>
            <w:r w:rsidRPr="00C6697F">
              <w:rPr>
                <w:rStyle w:val="Hypertextovodkaz"/>
                <w:noProof/>
              </w:rPr>
              <w:t>Smlouvy o poskytnutí podpory</w:t>
            </w:r>
            <w:r>
              <w:rPr>
                <w:noProof/>
                <w:webHidden/>
              </w:rPr>
              <w:tab/>
            </w:r>
            <w:r>
              <w:rPr>
                <w:noProof/>
                <w:webHidden/>
              </w:rPr>
              <w:fldChar w:fldCharType="begin"/>
            </w:r>
            <w:r>
              <w:rPr>
                <w:noProof/>
                <w:webHidden/>
              </w:rPr>
              <w:instrText xml:space="preserve"> PAGEREF _Toc195184948 \h </w:instrText>
            </w:r>
            <w:r>
              <w:rPr>
                <w:noProof/>
                <w:webHidden/>
              </w:rPr>
            </w:r>
            <w:r>
              <w:rPr>
                <w:noProof/>
                <w:webHidden/>
              </w:rPr>
              <w:fldChar w:fldCharType="separate"/>
            </w:r>
            <w:r w:rsidR="00314CF5">
              <w:rPr>
                <w:noProof/>
                <w:webHidden/>
              </w:rPr>
              <w:t>20</w:t>
            </w:r>
            <w:r>
              <w:rPr>
                <w:noProof/>
                <w:webHidden/>
              </w:rPr>
              <w:fldChar w:fldCharType="end"/>
            </w:r>
          </w:hyperlink>
        </w:p>
        <w:p w14:paraId="6C9406E5" w14:textId="27C87A04" w:rsidR="005B56E8" w:rsidRDefault="005B56E8" w:rsidP="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51" w:history="1">
            <w:r w:rsidRPr="00C6697F">
              <w:rPr>
                <w:rStyle w:val="Hypertextovodkaz"/>
                <w:noProof/>
              </w:rPr>
              <w:t>7.2</w:t>
            </w:r>
            <w:r>
              <w:rPr>
                <w:rFonts w:eastAsiaTheme="minorEastAsia"/>
                <w:noProof/>
                <w:kern w:val="2"/>
                <w:sz w:val="24"/>
                <w:szCs w:val="24"/>
                <w:lang w:eastAsia="cs-CZ"/>
                <w14:ligatures w14:val="standardContextual"/>
              </w:rPr>
              <w:tab/>
            </w:r>
            <w:r w:rsidRPr="00C6697F">
              <w:rPr>
                <w:rStyle w:val="Hypertextovodkaz"/>
                <w:noProof/>
              </w:rPr>
              <w:t>Věcné a finanční kontroly projektů</w:t>
            </w:r>
            <w:r>
              <w:rPr>
                <w:noProof/>
                <w:webHidden/>
              </w:rPr>
              <w:tab/>
            </w:r>
            <w:r>
              <w:rPr>
                <w:noProof/>
                <w:webHidden/>
              </w:rPr>
              <w:fldChar w:fldCharType="begin"/>
            </w:r>
            <w:r>
              <w:rPr>
                <w:noProof/>
                <w:webHidden/>
              </w:rPr>
              <w:instrText xml:space="preserve"> PAGEREF _Toc195184951 \h </w:instrText>
            </w:r>
            <w:r>
              <w:rPr>
                <w:noProof/>
                <w:webHidden/>
              </w:rPr>
            </w:r>
            <w:r>
              <w:rPr>
                <w:noProof/>
                <w:webHidden/>
              </w:rPr>
              <w:fldChar w:fldCharType="separate"/>
            </w:r>
            <w:r w:rsidR="00314CF5">
              <w:rPr>
                <w:noProof/>
                <w:webHidden/>
              </w:rPr>
              <w:t>21</w:t>
            </w:r>
            <w:r>
              <w:rPr>
                <w:noProof/>
                <w:webHidden/>
              </w:rPr>
              <w:fldChar w:fldCharType="end"/>
            </w:r>
          </w:hyperlink>
        </w:p>
        <w:p w14:paraId="05D96C84" w14:textId="50FDA466"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53" w:history="1">
            <w:r w:rsidRPr="00C6697F">
              <w:rPr>
                <w:rStyle w:val="Hypertextovodkaz"/>
                <w:noProof/>
              </w:rPr>
              <w:t>7.3</w:t>
            </w:r>
            <w:r>
              <w:rPr>
                <w:rFonts w:eastAsiaTheme="minorEastAsia"/>
                <w:noProof/>
                <w:kern w:val="2"/>
                <w:sz w:val="24"/>
                <w:szCs w:val="24"/>
                <w:lang w:eastAsia="cs-CZ"/>
                <w14:ligatures w14:val="standardContextual"/>
              </w:rPr>
              <w:tab/>
            </w:r>
            <w:r w:rsidRPr="00C6697F">
              <w:rPr>
                <w:rStyle w:val="Hypertextovodkaz"/>
                <w:noProof/>
              </w:rPr>
              <w:t>Změnová řízení projektů</w:t>
            </w:r>
            <w:r>
              <w:rPr>
                <w:noProof/>
                <w:webHidden/>
              </w:rPr>
              <w:tab/>
            </w:r>
            <w:r>
              <w:rPr>
                <w:noProof/>
                <w:webHidden/>
              </w:rPr>
              <w:fldChar w:fldCharType="begin"/>
            </w:r>
            <w:r>
              <w:rPr>
                <w:noProof/>
                <w:webHidden/>
              </w:rPr>
              <w:instrText xml:space="preserve"> PAGEREF _Toc195184953 \h </w:instrText>
            </w:r>
            <w:r>
              <w:rPr>
                <w:noProof/>
                <w:webHidden/>
              </w:rPr>
            </w:r>
            <w:r>
              <w:rPr>
                <w:noProof/>
                <w:webHidden/>
              </w:rPr>
              <w:fldChar w:fldCharType="separate"/>
            </w:r>
            <w:r w:rsidR="00314CF5">
              <w:rPr>
                <w:noProof/>
                <w:webHidden/>
              </w:rPr>
              <w:t>23</w:t>
            </w:r>
            <w:r>
              <w:rPr>
                <w:noProof/>
                <w:webHidden/>
              </w:rPr>
              <w:fldChar w:fldCharType="end"/>
            </w:r>
          </w:hyperlink>
        </w:p>
        <w:p w14:paraId="0124B808" w14:textId="2D98B8B2"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54" w:history="1">
            <w:r w:rsidRPr="00C6697F">
              <w:rPr>
                <w:rStyle w:val="Hypertextovodkaz"/>
                <w:noProof/>
              </w:rPr>
              <w:t>7.4</w:t>
            </w:r>
            <w:r>
              <w:rPr>
                <w:rFonts w:eastAsiaTheme="minorEastAsia"/>
                <w:noProof/>
                <w:kern w:val="2"/>
                <w:sz w:val="24"/>
                <w:szCs w:val="24"/>
                <w:lang w:eastAsia="cs-CZ"/>
                <w14:ligatures w14:val="standardContextual"/>
              </w:rPr>
              <w:tab/>
            </w:r>
            <w:r w:rsidRPr="00C6697F">
              <w:rPr>
                <w:rStyle w:val="Hypertextovodkaz"/>
                <w:noProof/>
              </w:rPr>
              <w:t>Závěrečná hodnocení projektů a hodnocení dopadů projektů</w:t>
            </w:r>
            <w:r>
              <w:rPr>
                <w:noProof/>
                <w:webHidden/>
              </w:rPr>
              <w:tab/>
            </w:r>
            <w:r>
              <w:rPr>
                <w:noProof/>
                <w:webHidden/>
              </w:rPr>
              <w:fldChar w:fldCharType="begin"/>
            </w:r>
            <w:r>
              <w:rPr>
                <w:noProof/>
                <w:webHidden/>
              </w:rPr>
              <w:instrText xml:space="preserve"> PAGEREF _Toc195184954 \h </w:instrText>
            </w:r>
            <w:r>
              <w:rPr>
                <w:noProof/>
                <w:webHidden/>
              </w:rPr>
            </w:r>
            <w:r>
              <w:rPr>
                <w:noProof/>
                <w:webHidden/>
              </w:rPr>
              <w:fldChar w:fldCharType="separate"/>
            </w:r>
            <w:r w:rsidR="00314CF5">
              <w:rPr>
                <w:noProof/>
                <w:webHidden/>
              </w:rPr>
              <w:t>24</w:t>
            </w:r>
            <w:r>
              <w:rPr>
                <w:noProof/>
                <w:webHidden/>
              </w:rPr>
              <w:fldChar w:fldCharType="end"/>
            </w:r>
          </w:hyperlink>
        </w:p>
        <w:p w14:paraId="78B4C798" w14:textId="01A6CBC8"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55" w:history="1">
            <w:r w:rsidRPr="00C6697F">
              <w:rPr>
                <w:rStyle w:val="Hypertextovodkaz"/>
                <w:noProof/>
              </w:rPr>
              <w:t>8</w:t>
            </w:r>
            <w:r>
              <w:rPr>
                <w:rFonts w:eastAsiaTheme="minorEastAsia"/>
                <w:noProof/>
                <w:kern w:val="2"/>
                <w:sz w:val="24"/>
                <w:szCs w:val="24"/>
                <w:lang w:eastAsia="cs-CZ"/>
                <w14:ligatures w14:val="standardContextual"/>
              </w:rPr>
              <w:tab/>
            </w:r>
            <w:r w:rsidRPr="00C6697F">
              <w:rPr>
                <w:rStyle w:val="Hypertextovodkaz"/>
                <w:noProof/>
              </w:rPr>
              <w:t>Komunikace a publicita programů, veřejných soutěží a jejich výsledků</w:t>
            </w:r>
            <w:r>
              <w:rPr>
                <w:noProof/>
                <w:webHidden/>
              </w:rPr>
              <w:tab/>
            </w:r>
            <w:r>
              <w:rPr>
                <w:noProof/>
                <w:webHidden/>
              </w:rPr>
              <w:fldChar w:fldCharType="begin"/>
            </w:r>
            <w:r>
              <w:rPr>
                <w:noProof/>
                <w:webHidden/>
              </w:rPr>
              <w:instrText xml:space="preserve"> PAGEREF _Toc195184955 \h </w:instrText>
            </w:r>
            <w:r>
              <w:rPr>
                <w:noProof/>
                <w:webHidden/>
              </w:rPr>
            </w:r>
            <w:r>
              <w:rPr>
                <w:noProof/>
                <w:webHidden/>
              </w:rPr>
              <w:fldChar w:fldCharType="separate"/>
            </w:r>
            <w:r w:rsidR="00314CF5">
              <w:rPr>
                <w:noProof/>
                <w:webHidden/>
              </w:rPr>
              <w:t>26</w:t>
            </w:r>
            <w:r>
              <w:rPr>
                <w:noProof/>
                <w:webHidden/>
              </w:rPr>
              <w:fldChar w:fldCharType="end"/>
            </w:r>
          </w:hyperlink>
        </w:p>
        <w:p w14:paraId="4A5A175E" w14:textId="56F23DC2"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56" w:history="1">
            <w:r w:rsidRPr="00C6697F">
              <w:rPr>
                <w:rStyle w:val="Hypertextovodkaz"/>
                <w:noProof/>
              </w:rPr>
              <w:t>8.1</w:t>
            </w:r>
            <w:r>
              <w:rPr>
                <w:rFonts w:eastAsiaTheme="minorEastAsia"/>
                <w:noProof/>
                <w:kern w:val="2"/>
                <w:sz w:val="24"/>
                <w:szCs w:val="24"/>
                <w:lang w:eastAsia="cs-CZ"/>
                <w14:ligatures w14:val="standardContextual"/>
              </w:rPr>
              <w:tab/>
            </w:r>
            <w:r w:rsidRPr="00C6697F">
              <w:rPr>
                <w:rStyle w:val="Hypertextovodkaz"/>
                <w:noProof/>
              </w:rPr>
              <w:t>Komunikace programů účelové podpory</w:t>
            </w:r>
            <w:r>
              <w:rPr>
                <w:noProof/>
                <w:webHidden/>
              </w:rPr>
              <w:tab/>
            </w:r>
            <w:r>
              <w:rPr>
                <w:noProof/>
                <w:webHidden/>
              </w:rPr>
              <w:fldChar w:fldCharType="begin"/>
            </w:r>
            <w:r>
              <w:rPr>
                <w:noProof/>
                <w:webHidden/>
              </w:rPr>
              <w:instrText xml:space="preserve"> PAGEREF _Toc195184956 \h </w:instrText>
            </w:r>
            <w:r>
              <w:rPr>
                <w:noProof/>
                <w:webHidden/>
              </w:rPr>
            </w:r>
            <w:r>
              <w:rPr>
                <w:noProof/>
                <w:webHidden/>
              </w:rPr>
              <w:fldChar w:fldCharType="separate"/>
            </w:r>
            <w:r w:rsidR="00314CF5">
              <w:rPr>
                <w:noProof/>
                <w:webHidden/>
              </w:rPr>
              <w:t>26</w:t>
            </w:r>
            <w:r>
              <w:rPr>
                <w:noProof/>
                <w:webHidden/>
              </w:rPr>
              <w:fldChar w:fldCharType="end"/>
            </w:r>
          </w:hyperlink>
        </w:p>
        <w:p w14:paraId="6978A264" w14:textId="2638250D"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60" w:history="1">
            <w:r w:rsidRPr="00C6697F">
              <w:rPr>
                <w:rStyle w:val="Hypertextovodkaz"/>
                <w:noProof/>
              </w:rPr>
              <w:t>8.2</w:t>
            </w:r>
            <w:r>
              <w:rPr>
                <w:rFonts w:eastAsiaTheme="minorEastAsia"/>
                <w:noProof/>
                <w:kern w:val="2"/>
                <w:sz w:val="24"/>
                <w:szCs w:val="24"/>
                <w:lang w:eastAsia="cs-CZ"/>
                <w14:ligatures w14:val="standardContextual"/>
              </w:rPr>
              <w:tab/>
            </w:r>
            <w:r w:rsidRPr="00C6697F">
              <w:rPr>
                <w:rStyle w:val="Hypertextovodkaz"/>
                <w:noProof/>
              </w:rPr>
              <w:t>Komunikace poskytovatelů a řešitelů směrem k veřejnosti</w:t>
            </w:r>
            <w:r>
              <w:rPr>
                <w:noProof/>
                <w:webHidden/>
              </w:rPr>
              <w:tab/>
            </w:r>
            <w:r>
              <w:rPr>
                <w:noProof/>
                <w:webHidden/>
              </w:rPr>
              <w:fldChar w:fldCharType="begin"/>
            </w:r>
            <w:r>
              <w:rPr>
                <w:noProof/>
                <w:webHidden/>
              </w:rPr>
              <w:instrText xml:space="preserve"> PAGEREF _Toc195184960 \h </w:instrText>
            </w:r>
            <w:r>
              <w:rPr>
                <w:noProof/>
                <w:webHidden/>
              </w:rPr>
            </w:r>
            <w:r>
              <w:rPr>
                <w:noProof/>
                <w:webHidden/>
              </w:rPr>
              <w:fldChar w:fldCharType="separate"/>
            </w:r>
            <w:r w:rsidR="00314CF5">
              <w:rPr>
                <w:noProof/>
                <w:webHidden/>
              </w:rPr>
              <w:t>28</w:t>
            </w:r>
            <w:r>
              <w:rPr>
                <w:noProof/>
                <w:webHidden/>
              </w:rPr>
              <w:fldChar w:fldCharType="end"/>
            </w:r>
          </w:hyperlink>
        </w:p>
        <w:p w14:paraId="53FAD849" w14:textId="76E46715" w:rsidR="005B56E8" w:rsidRDefault="005B56E8">
          <w:pPr>
            <w:pStyle w:val="Obsah1"/>
            <w:tabs>
              <w:tab w:val="left" w:pos="440"/>
              <w:tab w:val="right" w:leader="dot" w:pos="9062"/>
            </w:tabs>
            <w:rPr>
              <w:rFonts w:eastAsiaTheme="minorEastAsia"/>
              <w:noProof/>
              <w:kern w:val="2"/>
              <w:sz w:val="24"/>
              <w:szCs w:val="24"/>
              <w:lang w:eastAsia="cs-CZ"/>
              <w14:ligatures w14:val="standardContextual"/>
            </w:rPr>
          </w:pPr>
          <w:hyperlink w:anchor="_Toc195184961" w:history="1">
            <w:r w:rsidRPr="00C6697F">
              <w:rPr>
                <w:rStyle w:val="Hypertextovodkaz"/>
                <w:noProof/>
              </w:rPr>
              <w:t>9</w:t>
            </w:r>
            <w:r>
              <w:rPr>
                <w:rFonts w:eastAsiaTheme="minorEastAsia"/>
                <w:noProof/>
                <w:kern w:val="2"/>
                <w:sz w:val="24"/>
                <w:szCs w:val="24"/>
                <w:lang w:eastAsia="cs-CZ"/>
                <w14:ligatures w14:val="standardContextual"/>
              </w:rPr>
              <w:tab/>
            </w:r>
            <w:r w:rsidRPr="00C6697F">
              <w:rPr>
                <w:rStyle w:val="Hypertextovodkaz"/>
                <w:noProof/>
              </w:rPr>
              <w:t>Přílohy</w:t>
            </w:r>
            <w:r>
              <w:rPr>
                <w:noProof/>
                <w:webHidden/>
              </w:rPr>
              <w:tab/>
            </w:r>
            <w:r>
              <w:rPr>
                <w:noProof/>
                <w:webHidden/>
              </w:rPr>
              <w:fldChar w:fldCharType="begin"/>
            </w:r>
            <w:r>
              <w:rPr>
                <w:noProof/>
                <w:webHidden/>
              </w:rPr>
              <w:instrText xml:space="preserve"> PAGEREF _Toc195184961 \h </w:instrText>
            </w:r>
            <w:r>
              <w:rPr>
                <w:noProof/>
                <w:webHidden/>
              </w:rPr>
            </w:r>
            <w:r>
              <w:rPr>
                <w:noProof/>
                <w:webHidden/>
              </w:rPr>
              <w:fldChar w:fldCharType="separate"/>
            </w:r>
            <w:r w:rsidR="00314CF5">
              <w:rPr>
                <w:noProof/>
                <w:webHidden/>
              </w:rPr>
              <w:t>29</w:t>
            </w:r>
            <w:r>
              <w:rPr>
                <w:noProof/>
                <w:webHidden/>
              </w:rPr>
              <w:fldChar w:fldCharType="end"/>
            </w:r>
          </w:hyperlink>
        </w:p>
        <w:p w14:paraId="59485012" w14:textId="52F23AF0"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62" w:history="1">
            <w:r w:rsidRPr="00C6697F">
              <w:rPr>
                <w:rStyle w:val="Hypertextovodkaz"/>
                <w:noProof/>
              </w:rPr>
              <w:t>9.1</w:t>
            </w:r>
            <w:r>
              <w:rPr>
                <w:rFonts w:eastAsiaTheme="minorEastAsia"/>
                <w:noProof/>
                <w:kern w:val="2"/>
                <w:sz w:val="24"/>
                <w:szCs w:val="24"/>
                <w:lang w:eastAsia="cs-CZ"/>
                <w14:ligatures w14:val="standardContextual"/>
              </w:rPr>
              <w:tab/>
            </w:r>
            <w:r w:rsidRPr="00C6697F">
              <w:rPr>
                <w:rStyle w:val="Hypertextovodkaz"/>
                <w:noProof/>
              </w:rPr>
              <w:t>Jednání platformy pro přípravu metodického pokynu (data a témata)</w:t>
            </w:r>
            <w:r>
              <w:rPr>
                <w:noProof/>
                <w:webHidden/>
              </w:rPr>
              <w:tab/>
            </w:r>
            <w:r>
              <w:rPr>
                <w:noProof/>
                <w:webHidden/>
              </w:rPr>
              <w:fldChar w:fldCharType="begin"/>
            </w:r>
            <w:r>
              <w:rPr>
                <w:noProof/>
                <w:webHidden/>
              </w:rPr>
              <w:instrText xml:space="preserve"> PAGEREF _Toc195184962 \h </w:instrText>
            </w:r>
            <w:r>
              <w:rPr>
                <w:noProof/>
                <w:webHidden/>
              </w:rPr>
            </w:r>
            <w:r>
              <w:rPr>
                <w:noProof/>
                <w:webHidden/>
              </w:rPr>
              <w:fldChar w:fldCharType="separate"/>
            </w:r>
            <w:r w:rsidR="00314CF5">
              <w:rPr>
                <w:noProof/>
                <w:webHidden/>
              </w:rPr>
              <w:t>29</w:t>
            </w:r>
            <w:r>
              <w:rPr>
                <w:noProof/>
                <w:webHidden/>
              </w:rPr>
              <w:fldChar w:fldCharType="end"/>
            </w:r>
          </w:hyperlink>
        </w:p>
        <w:p w14:paraId="46349D6D" w14:textId="31CBF383"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63" w:history="1">
            <w:r w:rsidRPr="00C6697F">
              <w:rPr>
                <w:rStyle w:val="Hypertextovodkaz"/>
                <w:rFonts w:eastAsia="Times New Roman"/>
                <w:noProof/>
              </w:rPr>
              <w:t>9.2</w:t>
            </w:r>
            <w:r>
              <w:rPr>
                <w:rFonts w:eastAsiaTheme="minorEastAsia"/>
                <w:noProof/>
                <w:kern w:val="2"/>
                <w:sz w:val="24"/>
                <w:szCs w:val="24"/>
                <w:lang w:eastAsia="cs-CZ"/>
                <w14:ligatures w14:val="standardContextual"/>
              </w:rPr>
              <w:tab/>
            </w:r>
            <w:r w:rsidRPr="00C6697F">
              <w:rPr>
                <w:rStyle w:val="Hypertextovodkaz"/>
                <w:rFonts w:eastAsia="Times New Roman"/>
                <w:noProof/>
              </w:rPr>
              <w:t>Vzor jednotného čestného prohlášení pro žadatele o účelovou podporu (1/2025)</w:t>
            </w:r>
            <w:r>
              <w:rPr>
                <w:noProof/>
                <w:webHidden/>
              </w:rPr>
              <w:tab/>
            </w:r>
            <w:r>
              <w:rPr>
                <w:noProof/>
                <w:webHidden/>
              </w:rPr>
              <w:fldChar w:fldCharType="begin"/>
            </w:r>
            <w:r>
              <w:rPr>
                <w:noProof/>
                <w:webHidden/>
              </w:rPr>
              <w:instrText xml:space="preserve"> PAGEREF _Toc195184963 \h </w:instrText>
            </w:r>
            <w:r>
              <w:rPr>
                <w:noProof/>
                <w:webHidden/>
              </w:rPr>
            </w:r>
            <w:r>
              <w:rPr>
                <w:noProof/>
                <w:webHidden/>
              </w:rPr>
              <w:fldChar w:fldCharType="separate"/>
            </w:r>
            <w:r w:rsidR="00314CF5">
              <w:rPr>
                <w:noProof/>
                <w:webHidden/>
              </w:rPr>
              <w:t>30</w:t>
            </w:r>
            <w:r>
              <w:rPr>
                <w:noProof/>
                <w:webHidden/>
              </w:rPr>
              <w:fldChar w:fldCharType="end"/>
            </w:r>
          </w:hyperlink>
        </w:p>
        <w:p w14:paraId="6B884519" w14:textId="7849B8C3"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64" w:history="1">
            <w:r w:rsidRPr="00C6697F">
              <w:rPr>
                <w:rStyle w:val="Hypertextovodkaz"/>
                <w:noProof/>
              </w:rPr>
              <w:t>9.3</w:t>
            </w:r>
            <w:r>
              <w:rPr>
                <w:rFonts w:eastAsiaTheme="minorEastAsia"/>
                <w:noProof/>
                <w:kern w:val="2"/>
                <w:sz w:val="24"/>
                <w:szCs w:val="24"/>
                <w:lang w:eastAsia="cs-CZ"/>
                <w14:ligatures w14:val="standardContextual"/>
              </w:rPr>
              <w:tab/>
            </w:r>
            <w:r w:rsidRPr="00C6697F">
              <w:rPr>
                <w:rStyle w:val="Hypertextovodkaz"/>
                <w:noProof/>
              </w:rPr>
              <w:t>Harmonogram předložení návrhu programu/skupiny grantových projektů</w:t>
            </w:r>
            <w:r>
              <w:rPr>
                <w:noProof/>
                <w:webHidden/>
              </w:rPr>
              <w:tab/>
            </w:r>
            <w:r>
              <w:rPr>
                <w:noProof/>
                <w:webHidden/>
              </w:rPr>
              <w:fldChar w:fldCharType="begin"/>
            </w:r>
            <w:r>
              <w:rPr>
                <w:noProof/>
                <w:webHidden/>
              </w:rPr>
              <w:instrText xml:space="preserve"> PAGEREF _Toc195184964 \h </w:instrText>
            </w:r>
            <w:r>
              <w:rPr>
                <w:noProof/>
                <w:webHidden/>
              </w:rPr>
            </w:r>
            <w:r>
              <w:rPr>
                <w:noProof/>
                <w:webHidden/>
              </w:rPr>
              <w:fldChar w:fldCharType="separate"/>
            </w:r>
            <w:r w:rsidR="00314CF5">
              <w:rPr>
                <w:noProof/>
                <w:webHidden/>
              </w:rPr>
              <w:t>32</w:t>
            </w:r>
            <w:r>
              <w:rPr>
                <w:noProof/>
                <w:webHidden/>
              </w:rPr>
              <w:fldChar w:fldCharType="end"/>
            </w:r>
          </w:hyperlink>
        </w:p>
        <w:p w14:paraId="65CFBC80" w14:textId="3F41F851"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65" w:history="1">
            <w:r w:rsidRPr="00C6697F">
              <w:rPr>
                <w:rStyle w:val="Hypertextovodkaz"/>
                <w:noProof/>
              </w:rPr>
              <w:t>9.4</w:t>
            </w:r>
            <w:r>
              <w:rPr>
                <w:rFonts w:eastAsiaTheme="minorEastAsia"/>
                <w:noProof/>
                <w:kern w:val="2"/>
                <w:sz w:val="24"/>
                <w:szCs w:val="24"/>
                <w:lang w:eastAsia="cs-CZ"/>
                <w14:ligatures w14:val="standardContextual"/>
              </w:rPr>
              <w:tab/>
            </w:r>
            <w:r w:rsidRPr="00C6697F">
              <w:rPr>
                <w:rStyle w:val="Hypertextovodkaz"/>
                <w:noProof/>
              </w:rPr>
              <w:t>Přehled následných opatření</w:t>
            </w:r>
            <w:r>
              <w:rPr>
                <w:noProof/>
                <w:webHidden/>
              </w:rPr>
              <w:tab/>
            </w:r>
            <w:r>
              <w:rPr>
                <w:noProof/>
                <w:webHidden/>
              </w:rPr>
              <w:fldChar w:fldCharType="begin"/>
            </w:r>
            <w:r>
              <w:rPr>
                <w:noProof/>
                <w:webHidden/>
              </w:rPr>
              <w:instrText xml:space="preserve"> PAGEREF _Toc195184965 \h </w:instrText>
            </w:r>
            <w:r>
              <w:rPr>
                <w:noProof/>
                <w:webHidden/>
              </w:rPr>
            </w:r>
            <w:r>
              <w:rPr>
                <w:noProof/>
                <w:webHidden/>
              </w:rPr>
              <w:fldChar w:fldCharType="separate"/>
            </w:r>
            <w:r w:rsidR="00314CF5">
              <w:rPr>
                <w:noProof/>
                <w:webHidden/>
              </w:rPr>
              <w:t>33</w:t>
            </w:r>
            <w:r>
              <w:rPr>
                <w:noProof/>
                <w:webHidden/>
              </w:rPr>
              <w:fldChar w:fldCharType="end"/>
            </w:r>
          </w:hyperlink>
        </w:p>
        <w:p w14:paraId="100C1071" w14:textId="7917F035" w:rsidR="005B56E8" w:rsidRDefault="005B56E8">
          <w:pPr>
            <w:pStyle w:val="Obsah2"/>
            <w:tabs>
              <w:tab w:val="left" w:pos="960"/>
              <w:tab w:val="right" w:leader="dot" w:pos="9062"/>
            </w:tabs>
            <w:rPr>
              <w:rFonts w:eastAsiaTheme="minorEastAsia"/>
              <w:noProof/>
              <w:kern w:val="2"/>
              <w:sz w:val="24"/>
              <w:szCs w:val="24"/>
              <w:lang w:eastAsia="cs-CZ"/>
              <w14:ligatures w14:val="standardContextual"/>
            </w:rPr>
          </w:pPr>
          <w:hyperlink w:anchor="_Toc195184970" w:history="1">
            <w:r w:rsidRPr="00C6697F">
              <w:rPr>
                <w:rStyle w:val="Hypertextovodkaz"/>
                <w:noProof/>
              </w:rPr>
              <w:t>9.5</w:t>
            </w:r>
            <w:r>
              <w:rPr>
                <w:rFonts w:eastAsiaTheme="minorEastAsia"/>
                <w:noProof/>
                <w:kern w:val="2"/>
                <w:sz w:val="24"/>
                <w:szCs w:val="24"/>
                <w:lang w:eastAsia="cs-CZ"/>
                <w14:ligatures w14:val="standardContextual"/>
              </w:rPr>
              <w:tab/>
            </w:r>
            <w:r w:rsidR="00A03997">
              <w:rPr>
                <w:rStyle w:val="Hypertextovodkaz"/>
                <w:noProof/>
              </w:rPr>
              <w:t>Minimální param</w:t>
            </w:r>
            <w:r w:rsidR="00A03997">
              <w:rPr>
                <w:rStyle w:val="Hypertextovodkaz"/>
                <w:noProof/>
              </w:rPr>
              <w:t>e</w:t>
            </w:r>
            <w:r w:rsidR="00A03997">
              <w:rPr>
                <w:rStyle w:val="Hypertextovodkaz"/>
                <w:noProof/>
              </w:rPr>
              <w:t>try</w:t>
            </w:r>
            <w:r w:rsidRPr="00C6697F">
              <w:rPr>
                <w:rStyle w:val="Hypertextovodkaz"/>
                <w:noProof/>
              </w:rPr>
              <w:t xml:space="preserve"> hodnocení návrhů projektů</w:t>
            </w:r>
            <w:r>
              <w:rPr>
                <w:noProof/>
                <w:webHidden/>
              </w:rPr>
              <w:tab/>
            </w:r>
            <w:r>
              <w:rPr>
                <w:noProof/>
                <w:webHidden/>
              </w:rPr>
              <w:fldChar w:fldCharType="begin"/>
            </w:r>
            <w:r>
              <w:rPr>
                <w:noProof/>
                <w:webHidden/>
              </w:rPr>
              <w:instrText xml:space="preserve"> PAGEREF _Toc195184970 \h </w:instrText>
            </w:r>
            <w:r>
              <w:rPr>
                <w:noProof/>
                <w:webHidden/>
              </w:rPr>
            </w:r>
            <w:r>
              <w:rPr>
                <w:noProof/>
                <w:webHidden/>
              </w:rPr>
              <w:fldChar w:fldCharType="separate"/>
            </w:r>
            <w:r w:rsidR="00314CF5">
              <w:rPr>
                <w:noProof/>
                <w:webHidden/>
              </w:rPr>
              <w:t>38</w:t>
            </w:r>
            <w:r>
              <w:rPr>
                <w:noProof/>
                <w:webHidden/>
              </w:rPr>
              <w:fldChar w:fldCharType="end"/>
            </w:r>
          </w:hyperlink>
        </w:p>
        <w:p w14:paraId="1245BD8E" w14:textId="39DF69E9" w:rsidR="001C5D46" w:rsidRPr="00E40EAB" w:rsidRDefault="001C5D46">
          <w:pPr>
            <w:rPr>
              <w:b/>
              <w:bCs/>
            </w:rPr>
          </w:pPr>
          <w:r>
            <w:rPr>
              <w:b/>
              <w:bCs/>
            </w:rPr>
            <w:fldChar w:fldCharType="end"/>
          </w:r>
        </w:p>
      </w:sdtContent>
    </w:sdt>
    <w:p w14:paraId="06373AD1" w14:textId="77777777" w:rsidR="00481B0B" w:rsidRDefault="00481B0B">
      <w:pPr>
        <w:rPr>
          <w:rFonts w:ascii="Calibri" w:eastAsiaTheme="majorEastAsia" w:hAnsi="Calibri" w:cs="Calibri"/>
          <w:b/>
          <w:bCs/>
          <w:sz w:val="28"/>
          <w:szCs w:val="24"/>
        </w:rPr>
      </w:pPr>
      <w:r>
        <w:br w:type="page"/>
      </w:r>
    </w:p>
    <w:p w14:paraId="6577A093" w14:textId="5B91DF7A" w:rsidR="00E40EAB" w:rsidRPr="00677F71" w:rsidRDefault="00E40EAB" w:rsidP="00E01D8E">
      <w:pPr>
        <w:pStyle w:val="Nadpis1"/>
        <w:numPr>
          <w:ilvl w:val="0"/>
          <w:numId w:val="0"/>
        </w:numPr>
        <w:ind w:left="432" w:hanging="432"/>
      </w:pPr>
      <w:bookmarkStart w:id="0" w:name="_Toc195184927"/>
      <w:r w:rsidRPr="00677F71">
        <w:lastRenderedPageBreak/>
        <w:t>Seznam zkratek</w:t>
      </w:r>
      <w:bookmarkEnd w:id="0"/>
    </w:p>
    <w:p w14:paraId="395809DC" w14:textId="631AC7D8" w:rsidR="00E40EAB" w:rsidRDefault="00E40EAB" w:rsidP="00E40EAB"/>
    <w:tbl>
      <w:tblPr>
        <w:tblStyle w:val="Mkatabulky"/>
        <w:tblW w:w="0" w:type="auto"/>
        <w:tblLook w:val="04A0" w:firstRow="1" w:lastRow="0" w:firstColumn="1" w:lastColumn="0" w:noHBand="0" w:noVBand="1"/>
      </w:tblPr>
      <w:tblGrid>
        <w:gridCol w:w="4515"/>
        <w:gridCol w:w="4515"/>
      </w:tblGrid>
      <w:tr w:rsidR="00E40EAB" w14:paraId="1F3FB922" w14:textId="77777777" w:rsidTr="00842C84">
        <w:trPr>
          <w:trHeight w:val="466"/>
        </w:trPr>
        <w:tc>
          <w:tcPr>
            <w:tcW w:w="4515" w:type="dxa"/>
          </w:tcPr>
          <w:p w14:paraId="017F0A54" w14:textId="60787F91" w:rsidR="00F70A60" w:rsidRDefault="00DA5A25" w:rsidP="00693EF4">
            <w:r>
              <w:t>VVI</w:t>
            </w:r>
          </w:p>
        </w:tc>
        <w:tc>
          <w:tcPr>
            <w:tcW w:w="4515" w:type="dxa"/>
          </w:tcPr>
          <w:p w14:paraId="01BBDDFC" w14:textId="67853110" w:rsidR="00E40EAB" w:rsidRDefault="00E759FE" w:rsidP="00AC76E8">
            <w:r>
              <w:t xml:space="preserve">Výzkum, vývoj a </w:t>
            </w:r>
            <w:r w:rsidR="00E40EAB">
              <w:t>inovace</w:t>
            </w:r>
          </w:p>
        </w:tc>
      </w:tr>
      <w:tr w:rsidR="00E40EAB" w14:paraId="39BBDEF2" w14:textId="77777777" w:rsidTr="00842C84">
        <w:trPr>
          <w:trHeight w:val="449"/>
        </w:trPr>
        <w:tc>
          <w:tcPr>
            <w:tcW w:w="4515" w:type="dxa"/>
          </w:tcPr>
          <w:p w14:paraId="6AAE0F3F" w14:textId="77777777" w:rsidR="00E40EAB" w:rsidRDefault="00E40EAB" w:rsidP="00AC76E8">
            <w:r>
              <w:t>RVVI</w:t>
            </w:r>
          </w:p>
        </w:tc>
        <w:tc>
          <w:tcPr>
            <w:tcW w:w="4515" w:type="dxa"/>
          </w:tcPr>
          <w:p w14:paraId="328BD6CA" w14:textId="24BB3E35" w:rsidR="00E40EAB" w:rsidRDefault="00E40EAB" w:rsidP="00AC76E8">
            <w:r>
              <w:t xml:space="preserve">Rada pro </w:t>
            </w:r>
            <w:r w:rsidR="00DA5A25">
              <w:t>v</w:t>
            </w:r>
            <w:r>
              <w:t>ýzkum</w:t>
            </w:r>
            <w:r w:rsidR="00A32409">
              <w:t xml:space="preserve">, vývoj </w:t>
            </w:r>
            <w:r>
              <w:t>a inovace</w:t>
            </w:r>
          </w:p>
        </w:tc>
      </w:tr>
      <w:tr w:rsidR="00E40EAB" w14:paraId="09834A61" w14:textId="77777777" w:rsidTr="00E01D8E">
        <w:trPr>
          <w:trHeight w:val="577"/>
        </w:trPr>
        <w:tc>
          <w:tcPr>
            <w:tcW w:w="4515" w:type="dxa"/>
          </w:tcPr>
          <w:p w14:paraId="7764C267" w14:textId="77777777" w:rsidR="00E40EAB" w:rsidRDefault="00E40EAB" w:rsidP="00AC76E8">
            <w:r>
              <w:t>KHV</w:t>
            </w:r>
          </w:p>
        </w:tc>
        <w:tc>
          <w:tcPr>
            <w:tcW w:w="4515" w:type="dxa"/>
          </w:tcPr>
          <w:p w14:paraId="6F82D71C" w14:textId="5D940D5A" w:rsidR="00E40EAB" w:rsidRDefault="00E40EAB" w:rsidP="00AC76E8">
            <w:r>
              <w:t>Komise pro hodnocení výzkumných organizací a</w:t>
            </w:r>
            <w:r w:rsidR="00804D9A">
              <w:t> </w:t>
            </w:r>
            <w:r>
              <w:t>ukončených programů</w:t>
            </w:r>
          </w:p>
        </w:tc>
      </w:tr>
      <w:tr w:rsidR="00E40EAB" w14:paraId="4AAAA041" w14:textId="77777777" w:rsidTr="00842C84">
        <w:trPr>
          <w:trHeight w:val="466"/>
        </w:trPr>
        <w:tc>
          <w:tcPr>
            <w:tcW w:w="4515" w:type="dxa"/>
          </w:tcPr>
          <w:p w14:paraId="0CC932CC" w14:textId="77777777" w:rsidR="00E40EAB" w:rsidRDefault="00E40EAB" w:rsidP="00AC76E8">
            <w:r>
              <w:t>ÚV-SVVI</w:t>
            </w:r>
            <w:r>
              <w:tab/>
            </w:r>
          </w:p>
        </w:tc>
        <w:tc>
          <w:tcPr>
            <w:tcW w:w="4515" w:type="dxa"/>
          </w:tcPr>
          <w:p w14:paraId="1DAE817F" w14:textId="77777777" w:rsidR="00E40EAB" w:rsidRDefault="00E40EAB" w:rsidP="00AC76E8">
            <w:r>
              <w:t>Úřad vlády – Sekce pro vědu, výzkum, inovace</w:t>
            </w:r>
          </w:p>
        </w:tc>
      </w:tr>
      <w:tr w:rsidR="00E40EAB" w14:paraId="088BD35A" w14:textId="77777777" w:rsidTr="00842C84">
        <w:trPr>
          <w:trHeight w:val="449"/>
        </w:trPr>
        <w:tc>
          <w:tcPr>
            <w:tcW w:w="4515" w:type="dxa"/>
          </w:tcPr>
          <w:p w14:paraId="0ED2C385" w14:textId="321948BE" w:rsidR="00E40EAB" w:rsidRDefault="00E40EAB" w:rsidP="00AC76E8">
            <w:r>
              <w:t xml:space="preserve">IS </w:t>
            </w:r>
            <w:r w:rsidR="008D0BE1">
              <w:t>VVI</w:t>
            </w:r>
          </w:p>
        </w:tc>
        <w:tc>
          <w:tcPr>
            <w:tcW w:w="4515" w:type="dxa"/>
          </w:tcPr>
          <w:p w14:paraId="46A379FE" w14:textId="4E1C5510" w:rsidR="00E40EAB" w:rsidRDefault="00E40EAB" w:rsidP="00AC76E8">
            <w:r>
              <w:t>Informační systém výzkumu, v</w:t>
            </w:r>
            <w:r w:rsidR="007750FB">
              <w:t>ývoje a</w:t>
            </w:r>
            <w:r>
              <w:t xml:space="preserve"> inovací</w:t>
            </w:r>
          </w:p>
        </w:tc>
      </w:tr>
      <w:tr w:rsidR="00E40EAB" w14:paraId="02510F56" w14:textId="77777777" w:rsidTr="00E01D8E">
        <w:trPr>
          <w:trHeight w:val="614"/>
        </w:trPr>
        <w:tc>
          <w:tcPr>
            <w:tcW w:w="4515" w:type="dxa"/>
          </w:tcPr>
          <w:p w14:paraId="7737E182" w14:textId="52FF6639" w:rsidR="00E40EAB" w:rsidRDefault="00E40EAB" w:rsidP="00AC76E8">
            <w:r>
              <w:t xml:space="preserve">NP </w:t>
            </w:r>
            <w:r w:rsidR="008D0BE1">
              <w:t>VVI</w:t>
            </w:r>
            <w:r>
              <w:t xml:space="preserve"> 2021+</w:t>
            </w:r>
          </w:p>
        </w:tc>
        <w:tc>
          <w:tcPr>
            <w:tcW w:w="4515" w:type="dxa"/>
          </w:tcPr>
          <w:p w14:paraId="35D332CF" w14:textId="77777777" w:rsidR="00E40EAB" w:rsidRDefault="00E40EAB" w:rsidP="00AC76E8">
            <w:r>
              <w:t>Národní politika výzkumu, vývoje a inovací České republiky 2021+</w:t>
            </w:r>
          </w:p>
        </w:tc>
      </w:tr>
      <w:tr w:rsidR="00E40EAB" w14:paraId="311AA0D5" w14:textId="77777777" w:rsidTr="00E01D8E">
        <w:trPr>
          <w:trHeight w:val="566"/>
        </w:trPr>
        <w:tc>
          <w:tcPr>
            <w:tcW w:w="4515" w:type="dxa"/>
          </w:tcPr>
          <w:p w14:paraId="7AC60B70" w14:textId="77777777" w:rsidR="00E40EAB" w:rsidRDefault="00E40EAB" w:rsidP="00AC76E8">
            <w:r>
              <w:t>HMJ</w:t>
            </w:r>
          </w:p>
        </w:tc>
        <w:tc>
          <w:tcPr>
            <w:tcW w:w="4515" w:type="dxa"/>
          </w:tcPr>
          <w:p w14:paraId="1AB1C68C" w14:textId="68512540" w:rsidR="00E40EAB" w:rsidRDefault="00E40EAB" w:rsidP="00AC76E8">
            <w:r>
              <w:t xml:space="preserve">Harmonizační a metodická jednotka v rámci </w:t>
            </w:r>
            <w:r w:rsidR="00E759FE">
              <w:t>Úřadu vlády – Sekce pro vědu, výzkum, inovace</w:t>
            </w:r>
            <w:r>
              <w:t xml:space="preserve"> </w:t>
            </w:r>
          </w:p>
        </w:tc>
      </w:tr>
      <w:tr w:rsidR="00E40EAB" w14:paraId="3E9A4572" w14:textId="77777777" w:rsidTr="00842C84">
        <w:trPr>
          <w:trHeight w:val="466"/>
        </w:trPr>
        <w:tc>
          <w:tcPr>
            <w:tcW w:w="4515" w:type="dxa"/>
          </w:tcPr>
          <w:p w14:paraId="6598D927" w14:textId="77777777" w:rsidR="00E40EAB" w:rsidRDefault="00E40EAB" w:rsidP="00AC76E8">
            <w:r>
              <w:t>KMP</w:t>
            </w:r>
            <w:r>
              <w:tab/>
            </w:r>
          </w:p>
        </w:tc>
        <w:tc>
          <w:tcPr>
            <w:tcW w:w="4515" w:type="dxa"/>
          </w:tcPr>
          <w:p w14:paraId="33CF9BD7" w14:textId="77777777" w:rsidR="00E40EAB" w:rsidRDefault="00E40EAB" w:rsidP="00AC76E8">
            <w:r>
              <w:t>Komunikačně-metodická platforma</w:t>
            </w:r>
          </w:p>
        </w:tc>
      </w:tr>
      <w:tr w:rsidR="00E40EAB" w14:paraId="2FFD35EA" w14:textId="77777777" w:rsidTr="00842C84">
        <w:trPr>
          <w:trHeight w:val="449"/>
        </w:trPr>
        <w:tc>
          <w:tcPr>
            <w:tcW w:w="4515" w:type="dxa"/>
          </w:tcPr>
          <w:p w14:paraId="3F67050D" w14:textId="77777777" w:rsidR="00E40EAB" w:rsidRDefault="00E40EAB" w:rsidP="00AC76E8">
            <w:r>
              <w:t xml:space="preserve">IS </w:t>
            </w:r>
            <w:r>
              <w:tab/>
            </w:r>
          </w:p>
        </w:tc>
        <w:tc>
          <w:tcPr>
            <w:tcW w:w="4515" w:type="dxa"/>
          </w:tcPr>
          <w:p w14:paraId="6E398701" w14:textId="77777777" w:rsidR="00E40EAB" w:rsidRDefault="00E40EAB" w:rsidP="00AC76E8">
            <w:r>
              <w:t>Informační systémy</w:t>
            </w:r>
          </w:p>
        </w:tc>
      </w:tr>
      <w:tr w:rsidR="00E40EAB" w14:paraId="68EC1115" w14:textId="77777777" w:rsidTr="00842C84">
        <w:trPr>
          <w:trHeight w:val="466"/>
        </w:trPr>
        <w:tc>
          <w:tcPr>
            <w:tcW w:w="4515" w:type="dxa"/>
          </w:tcPr>
          <w:p w14:paraId="200A11ED" w14:textId="77777777" w:rsidR="00E40EAB" w:rsidRDefault="00E40EAB" w:rsidP="00AC76E8">
            <w:r>
              <w:t xml:space="preserve">STRATIN+ </w:t>
            </w:r>
          </w:p>
        </w:tc>
        <w:tc>
          <w:tcPr>
            <w:tcW w:w="4515" w:type="dxa"/>
          </w:tcPr>
          <w:p w14:paraId="3D5E6240" w14:textId="04E0C069" w:rsidR="00E40EAB" w:rsidRDefault="00942CC2" w:rsidP="00AC76E8">
            <w:r>
              <w:t>Projekt sdílených činností „</w:t>
            </w:r>
            <w:r w:rsidR="00E40EAB">
              <w:t>Strategická inteligence pro výzkum a inovace</w:t>
            </w:r>
            <w:r>
              <w:t>“</w:t>
            </w:r>
          </w:p>
        </w:tc>
      </w:tr>
      <w:tr w:rsidR="00E40EAB" w14:paraId="0B417B46" w14:textId="77777777" w:rsidTr="00842C84">
        <w:trPr>
          <w:trHeight w:val="449"/>
        </w:trPr>
        <w:tc>
          <w:tcPr>
            <w:tcW w:w="4515" w:type="dxa"/>
          </w:tcPr>
          <w:p w14:paraId="435838AE" w14:textId="77777777" w:rsidR="00E40EAB" w:rsidRDefault="00E40EAB" w:rsidP="00AC76E8">
            <w:r>
              <w:t>NPO</w:t>
            </w:r>
          </w:p>
        </w:tc>
        <w:tc>
          <w:tcPr>
            <w:tcW w:w="4515" w:type="dxa"/>
          </w:tcPr>
          <w:p w14:paraId="2A835430" w14:textId="77777777" w:rsidR="00E40EAB" w:rsidRDefault="00E40EAB" w:rsidP="00AC76E8">
            <w:r>
              <w:t>Národní plán obnovy</w:t>
            </w:r>
          </w:p>
        </w:tc>
      </w:tr>
      <w:tr w:rsidR="00E40EAB" w14:paraId="4151D9D9" w14:textId="77777777" w:rsidTr="00842C84">
        <w:trPr>
          <w:trHeight w:val="916"/>
        </w:trPr>
        <w:tc>
          <w:tcPr>
            <w:tcW w:w="4515" w:type="dxa"/>
          </w:tcPr>
          <w:p w14:paraId="6A22EAFE" w14:textId="3B200BE2" w:rsidR="00E40EAB" w:rsidRDefault="00E40EAB" w:rsidP="00AC76E8">
            <w:r>
              <w:t>MP</w:t>
            </w:r>
            <w:r w:rsidR="00942CC2">
              <w:t xml:space="preserve"> (nebo Metodický pokyn)</w:t>
            </w:r>
          </w:p>
        </w:tc>
        <w:tc>
          <w:tcPr>
            <w:tcW w:w="4515" w:type="dxa"/>
          </w:tcPr>
          <w:p w14:paraId="589E05D0" w14:textId="338C94F1" w:rsidR="00E40EAB" w:rsidRDefault="00942CC2" w:rsidP="00804D9A">
            <w:r>
              <w:t>Metodický pokyn</w:t>
            </w:r>
            <w:r w:rsidR="000813FF">
              <w:t xml:space="preserve"> </w:t>
            </w:r>
            <w:r>
              <w:t>Rady pro výzkum, vývoj a</w:t>
            </w:r>
            <w:r w:rsidR="00804D9A">
              <w:t> i</w:t>
            </w:r>
            <w:r>
              <w:t>novace</w:t>
            </w:r>
            <w:r w:rsidR="000813FF">
              <w:t xml:space="preserve"> </w:t>
            </w:r>
            <w:r>
              <w:t>za účelem harmonizace metodického prostředí</w:t>
            </w:r>
            <w:r w:rsidR="00804D9A">
              <w:t xml:space="preserve"> </w:t>
            </w:r>
            <w:r>
              <w:t>k poskytování účelové podpory</w:t>
            </w:r>
            <w:r w:rsidR="000813FF">
              <w:t xml:space="preserve"> </w:t>
            </w:r>
            <w:r>
              <w:t xml:space="preserve">na </w:t>
            </w:r>
            <w:r w:rsidR="00804D9A">
              <w:t>v</w:t>
            </w:r>
            <w:r>
              <w:t>ýzkum, vývoj a inovace</w:t>
            </w:r>
            <w:r w:rsidR="000813FF">
              <w:t xml:space="preserve"> </w:t>
            </w:r>
            <w:r>
              <w:t xml:space="preserve">napříč všemi </w:t>
            </w:r>
            <w:r w:rsidR="00804D9A">
              <w:t>p</w:t>
            </w:r>
            <w:r>
              <w:t>oskytovateli</w:t>
            </w:r>
            <w:r w:rsidR="00E40EAB">
              <w:t xml:space="preserve"> </w:t>
            </w:r>
          </w:p>
        </w:tc>
      </w:tr>
      <w:tr w:rsidR="00E40EAB" w14:paraId="2EE24D04" w14:textId="77777777" w:rsidTr="00842C84">
        <w:trPr>
          <w:trHeight w:val="466"/>
        </w:trPr>
        <w:tc>
          <w:tcPr>
            <w:tcW w:w="4515" w:type="dxa"/>
          </w:tcPr>
          <w:p w14:paraId="7C1F3923" w14:textId="77777777" w:rsidR="00E40EAB" w:rsidRDefault="00E40EAB" w:rsidP="00AC76E8">
            <w:r>
              <w:t>RES</w:t>
            </w:r>
            <w:r w:rsidRPr="00FC3D19">
              <w:t xml:space="preserve">  </w:t>
            </w:r>
          </w:p>
        </w:tc>
        <w:tc>
          <w:tcPr>
            <w:tcW w:w="4515" w:type="dxa"/>
          </w:tcPr>
          <w:p w14:paraId="54DFF5B7" w14:textId="77777777" w:rsidR="00E40EAB" w:rsidRDefault="00E40EAB" w:rsidP="00AC76E8">
            <w:r>
              <w:t>Rejstřík</w:t>
            </w:r>
            <w:r w:rsidRPr="00FC3D19">
              <w:t xml:space="preserve"> ekonomických činností</w:t>
            </w:r>
          </w:p>
        </w:tc>
      </w:tr>
      <w:tr w:rsidR="00E40EAB" w14:paraId="238E7F9D" w14:textId="77777777" w:rsidTr="00842C84">
        <w:trPr>
          <w:trHeight w:val="449"/>
        </w:trPr>
        <w:tc>
          <w:tcPr>
            <w:tcW w:w="4515" w:type="dxa"/>
          </w:tcPr>
          <w:p w14:paraId="3AB15CA2" w14:textId="6036174A" w:rsidR="00E40EAB" w:rsidRDefault="00E40EAB" w:rsidP="00AC76E8">
            <w:r>
              <w:rPr>
                <w:bCs/>
              </w:rPr>
              <w:t>VS</w:t>
            </w:r>
          </w:p>
        </w:tc>
        <w:tc>
          <w:tcPr>
            <w:tcW w:w="4515" w:type="dxa"/>
          </w:tcPr>
          <w:p w14:paraId="413B85F3" w14:textId="77777777" w:rsidR="00E40EAB" w:rsidRDefault="00E40EAB" w:rsidP="00AC76E8">
            <w:r>
              <w:t>Veřejná soutěž</w:t>
            </w:r>
          </w:p>
        </w:tc>
      </w:tr>
      <w:tr w:rsidR="00E40EAB" w14:paraId="09A1AAFF" w14:textId="77777777" w:rsidTr="00842C84">
        <w:trPr>
          <w:trHeight w:val="466"/>
        </w:trPr>
        <w:tc>
          <w:tcPr>
            <w:tcW w:w="4515" w:type="dxa"/>
          </w:tcPr>
          <w:p w14:paraId="2CC276B0" w14:textId="77777777" w:rsidR="00E40EAB" w:rsidRDefault="00E40EAB" w:rsidP="00AC76E8">
            <w:r>
              <w:rPr>
                <w:bCs/>
              </w:rPr>
              <w:t>VZ</w:t>
            </w:r>
          </w:p>
        </w:tc>
        <w:tc>
          <w:tcPr>
            <w:tcW w:w="4515" w:type="dxa"/>
          </w:tcPr>
          <w:p w14:paraId="3B5010CF" w14:textId="77777777" w:rsidR="00E40EAB" w:rsidRDefault="00E40EAB" w:rsidP="00AC76E8">
            <w:r>
              <w:t>Veřejná zakázka</w:t>
            </w:r>
          </w:p>
        </w:tc>
      </w:tr>
      <w:tr w:rsidR="00E40EAB" w14:paraId="623A8BD8" w14:textId="77777777" w:rsidTr="00E01D8E">
        <w:trPr>
          <w:trHeight w:val="674"/>
        </w:trPr>
        <w:tc>
          <w:tcPr>
            <w:tcW w:w="4515" w:type="dxa"/>
          </w:tcPr>
          <w:p w14:paraId="1A29AB4A" w14:textId="77777777" w:rsidR="00E40EAB" w:rsidRDefault="00E40EAB" w:rsidP="00AC76E8">
            <w:r w:rsidRPr="001E4B70">
              <w:t>FAQ</w:t>
            </w:r>
          </w:p>
        </w:tc>
        <w:tc>
          <w:tcPr>
            <w:tcW w:w="4515" w:type="dxa"/>
          </w:tcPr>
          <w:p w14:paraId="4B9D07A1" w14:textId="77777777" w:rsidR="00E40EAB" w:rsidRPr="0046574A" w:rsidRDefault="00E40EAB" w:rsidP="00AC76E8">
            <w:pPr>
              <w:rPr>
                <w:rFonts w:cstheme="minorHAnsi"/>
              </w:rPr>
            </w:pPr>
            <w:proofErr w:type="spellStart"/>
            <w:r w:rsidRPr="0046574A">
              <w:rPr>
                <w:rFonts w:cstheme="minorHAnsi"/>
                <w:shd w:val="clear" w:color="auto" w:fill="FFFFFF"/>
              </w:rPr>
              <w:t>Frequently</w:t>
            </w:r>
            <w:proofErr w:type="spellEnd"/>
            <w:r w:rsidRPr="0046574A">
              <w:rPr>
                <w:rFonts w:cstheme="minorHAnsi"/>
                <w:shd w:val="clear" w:color="auto" w:fill="FFFFFF"/>
              </w:rPr>
              <w:t xml:space="preserve"> </w:t>
            </w:r>
            <w:proofErr w:type="spellStart"/>
            <w:r w:rsidRPr="0046574A">
              <w:rPr>
                <w:rFonts w:cstheme="minorHAnsi"/>
                <w:shd w:val="clear" w:color="auto" w:fill="FFFFFF"/>
              </w:rPr>
              <w:t>Asked</w:t>
            </w:r>
            <w:proofErr w:type="spellEnd"/>
            <w:r w:rsidRPr="0046574A">
              <w:rPr>
                <w:rFonts w:cstheme="minorHAnsi"/>
                <w:shd w:val="clear" w:color="auto" w:fill="FFFFFF"/>
              </w:rPr>
              <w:t xml:space="preserve"> </w:t>
            </w:r>
            <w:proofErr w:type="spellStart"/>
            <w:r w:rsidRPr="0046574A">
              <w:rPr>
                <w:rFonts w:cstheme="minorHAnsi"/>
                <w:shd w:val="clear" w:color="auto" w:fill="FFFFFF"/>
              </w:rPr>
              <w:t>Questions</w:t>
            </w:r>
            <w:proofErr w:type="spellEnd"/>
            <w:r w:rsidRPr="0046574A">
              <w:rPr>
                <w:rFonts w:cstheme="minorHAnsi"/>
                <w:shd w:val="clear" w:color="auto" w:fill="FFFFFF"/>
              </w:rPr>
              <w:t>, v překladu často kladené dotazy</w:t>
            </w:r>
          </w:p>
        </w:tc>
      </w:tr>
      <w:tr w:rsidR="00E40EAB" w14:paraId="6CA6B7E1" w14:textId="77777777" w:rsidTr="00E01D8E">
        <w:trPr>
          <w:trHeight w:val="698"/>
        </w:trPr>
        <w:tc>
          <w:tcPr>
            <w:tcW w:w="4515" w:type="dxa"/>
          </w:tcPr>
          <w:p w14:paraId="7B13CDEF" w14:textId="77777777" w:rsidR="00E40EAB" w:rsidRPr="0051359A" w:rsidRDefault="00E40EAB" w:rsidP="00AC76E8">
            <w:pPr>
              <w:rPr>
                <w:rFonts w:cstheme="minorHAnsi"/>
              </w:rPr>
            </w:pPr>
            <w:r w:rsidRPr="0051359A">
              <w:rPr>
                <w:rStyle w:val="Siln"/>
                <w:rFonts w:cstheme="minorHAnsi"/>
                <w:b w:val="0"/>
                <w:bCs w:val="0"/>
              </w:rPr>
              <w:t>TRL</w:t>
            </w:r>
          </w:p>
        </w:tc>
        <w:tc>
          <w:tcPr>
            <w:tcW w:w="4515" w:type="dxa"/>
          </w:tcPr>
          <w:p w14:paraId="41D03C51" w14:textId="4B07EEB5" w:rsidR="00E40EAB" w:rsidRPr="0046574A" w:rsidRDefault="00E40EAB" w:rsidP="00AC76E8">
            <w:pPr>
              <w:pStyle w:val="Bezmezer"/>
            </w:pPr>
            <w:r w:rsidRPr="0046574A">
              <w:rPr>
                <w:rStyle w:val="Siln"/>
                <w:b w:val="0"/>
              </w:rPr>
              <w:t xml:space="preserve">Technology </w:t>
            </w:r>
            <w:proofErr w:type="spellStart"/>
            <w:r w:rsidRPr="0046574A">
              <w:rPr>
                <w:rStyle w:val="Siln"/>
                <w:b w:val="0"/>
              </w:rPr>
              <w:t>Readiness</w:t>
            </w:r>
            <w:proofErr w:type="spellEnd"/>
            <w:r w:rsidRPr="0046574A">
              <w:rPr>
                <w:rStyle w:val="Siln"/>
                <w:b w:val="0"/>
              </w:rPr>
              <w:t xml:space="preserve"> Level</w:t>
            </w:r>
            <w:r w:rsidR="00DA5A25">
              <w:rPr>
                <w:rStyle w:val="Siln"/>
                <w:b w:val="0"/>
              </w:rPr>
              <w:t xml:space="preserve"> </w:t>
            </w:r>
            <w:r w:rsidR="00DA5A25" w:rsidRPr="00286015">
              <w:rPr>
                <w:rStyle w:val="Siln"/>
                <w:b w:val="0"/>
                <w:bCs w:val="0"/>
              </w:rPr>
              <w:t>(</w:t>
            </w:r>
            <w:r w:rsidRPr="0046574A">
              <w:t xml:space="preserve">v překladu </w:t>
            </w:r>
            <w:r w:rsidR="00DA5A25">
              <w:t>„</w:t>
            </w:r>
            <w:r w:rsidRPr="0046574A">
              <w:t>úroveň připravenosti technologie</w:t>
            </w:r>
            <w:r w:rsidR="00DA5A25">
              <w:t>“)</w:t>
            </w:r>
            <w:r w:rsidRPr="0046574A">
              <w:t xml:space="preserve">  </w:t>
            </w:r>
          </w:p>
        </w:tc>
      </w:tr>
      <w:tr w:rsidR="00E40EAB" w14:paraId="58955AA0" w14:textId="77777777" w:rsidTr="00842C84">
        <w:trPr>
          <w:trHeight w:val="449"/>
        </w:trPr>
        <w:tc>
          <w:tcPr>
            <w:tcW w:w="4515" w:type="dxa"/>
          </w:tcPr>
          <w:p w14:paraId="52E92561" w14:textId="77777777" w:rsidR="00E40EAB" w:rsidRDefault="00E40EAB" w:rsidP="00AC76E8">
            <w:r>
              <w:t>ERC</w:t>
            </w:r>
          </w:p>
        </w:tc>
        <w:tc>
          <w:tcPr>
            <w:tcW w:w="4515" w:type="dxa"/>
          </w:tcPr>
          <w:p w14:paraId="554BD0C8" w14:textId="77777777" w:rsidR="00E40EAB" w:rsidRDefault="00E40EAB" w:rsidP="00AC76E8">
            <w:r>
              <w:t>Evropská rada pro výzkum</w:t>
            </w:r>
          </w:p>
        </w:tc>
      </w:tr>
      <w:tr w:rsidR="00E40EAB" w14:paraId="0E6B7ACB" w14:textId="77777777" w:rsidTr="009207BE">
        <w:trPr>
          <w:trHeight w:val="466"/>
        </w:trPr>
        <w:tc>
          <w:tcPr>
            <w:tcW w:w="4515" w:type="dxa"/>
            <w:tcBorders>
              <w:bottom w:val="single" w:sz="4" w:space="0" w:color="auto"/>
            </w:tcBorders>
          </w:tcPr>
          <w:p w14:paraId="74C2A163" w14:textId="44B19B4E" w:rsidR="00E40EAB" w:rsidRDefault="00B221AF" w:rsidP="00AC76E8">
            <w:r>
              <w:t>IS FKV</w:t>
            </w:r>
            <w:r w:rsidR="000813FF">
              <w:t>S</w:t>
            </w:r>
          </w:p>
        </w:tc>
        <w:tc>
          <w:tcPr>
            <w:tcW w:w="4515" w:type="dxa"/>
            <w:tcBorders>
              <w:bottom w:val="single" w:sz="4" w:space="0" w:color="auto"/>
            </w:tcBorders>
          </w:tcPr>
          <w:p w14:paraId="69B63711" w14:textId="63071296" w:rsidR="00E40EAB" w:rsidRDefault="00B221AF" w:rsidP="00AC76E8">
            <w:r>
              <w:t>Informační systém finanční kontroly ve veřejné správě</w:t>
            </w:r>
          </w:p>
        </w:tc>
      </w:tr>
      <w:tr w:rsidR="00942CC2" w14:paraId="0F2E7632" w14:textId="77777777" w:rsidTr="009207BE">
        <w:trPr>
          <w:trHeight w:val="466"/>
        </w:trPr>
        <w:tc>
          <w:tcPr>
            <w:tcW w:w="4515" w:type="dxa"/>
            <w:tcBorders>
              <w:bottom w:val="single" w:sz="4" w:space="0" w:color="auto"/>
            </w:tcBorders>
          </w:tcPr>
          <w:p w14:paraId="6DEB3F8F" w14:textId="1A964E25" w:rsidR="00942CC2" w:rsidRDefault="00942CC2" w:rsidP="00AC76E8">
            <w:r>
              <w:t>ČR</w:t>
            </w:r>
          </w:p>
        </w:tc>
        <w:tc>
          <w:tcPr>
            <w:tcW w:w="4515" w:type="dxa"/>
            <w:tcBorders>
              <w:bottom w:val="single" w:sz="4" w:space="0" w:color="auto"/>
            </w:tcBorders>
          </w:tcPr>
          <w:p w14:paraId="74F25186" w14:textId="01F7BB0D" w:rsidR="00942CC2" w:rsidRDefault="00942CC2" w:rsidP="00AC76E8">
            <w:r>
              <w:t>Česká republika</w:t>
            </w:r>
          </w:p>
        </w:tc>
      </w:tr>
      <w:tr w:rsidR="00942CC2" w14:paraId="18D41FA2" w14:textId="77777777" w:rsidTr="009207BE">
        <w:trPr>
          <w:trHeight w:val="466"/>
        </w:trPr>
        <w:tc>
          <w:tcPr>
            <w:tcW w:w="4515" w:type="dxa"/>
            <w:tcBorders>
              <w:bottom w:val="single" w:sz="4" w:space="0" w:color="auto"/>
            </w:tcBorders>
          </w:tcPr>
          <w:p w14:paraId="1D4C5BF5" w14:textId="139836DE" w:rsidR="00942CC2" w:rsidRDefault="00942CC2" w:rsidP="00AC76E8">
            <w:r>
              <w:t>EU</w:t>
            </w:r>
          </w:p>
        </w:tc>
        <w:tc>
          <w:tcPr>
            <w:tcW w:w="4515" w:type="dxa"/>
            <w:tcBorders>
              <w:bottom w:val="single" w:sz="4" w:space="0" w:color="auto"/>
            </w:tcBorders>
          </w:tcPr>
          <w:p w14:paraId="15708612" w14:textId="72740576" w:rsidR="00942CC2" w:rsidRDefault="00942CC2" w:rsidP="00AC76E8">
            <w:r>
              <w:t>Evropská unie</w:t>
            </w:r>
          </w:p>
        </w:tc>
      </w:tr>
    </w:tbl>
    <w:p w14:paraId="7D0FD074" w14:textId="77777777" w:rsidR="00481B0B" w:rsidRDefault="00481B0B">
      <w:r>
        <w:br w:type="page"/>
      </w:r>
    </w:p>
    <w:tbl>
      <w:tblPr>
        <w:tblStyle w:val="Mkatabulky"/>
        <w:tblW w:w="0" w:type="auto"/>
        <w:tblInd w:w="5" w:type="dxa"/>
        <w:tblLook w:val="04A0" w:firstRow="1" w:lastRow="0" w:firstColumn="1" w:lastColumn="0" w:noHBand="0" w:noVBand="1"/>
      </w:tblPr>
      <w:tblGrid>
        <w:gridCol w:w="4515"/>
        <w:gridCol w:w="4515"/>
      </w:tblGrid>
      <w:tr w:rsidR="009207BE" w14:paraId="0CAF85D6" w14:textId="77777777" w:rsidTr="00481B0B">
        <w:trPr>
          <w:trHeight w:val="466"/>
        </w:trPr>
        <w:tc>
          <w:tcPr>
            <w:tcW w:w="4515" w:type="dxa"/>
            <w:tcBorders>
              <w:left w:val="nil"/>
              <w:bottom w:val="nil"/>
              <w:right w:val="nil"/>
            </w:tcBorders>
          </w:tcPr>
          <w:p w14:paraId="07B88D4D" w14:textId="4744EEBC" w:rsidR="009207BE" w:rsidRDefault="009207BE" w:rsidP="00AC76E8"/>
        </w:tc>
        <w:tc>
          <w:tcPr>
            <w:tcW w:w="4515" w:type="dxa"/>
            <w:tcBorders>
              <w:left w:val="nil"/>
              <w:bottom w:val="nil"/>
              <w:right w:val="nil"/>
            </w:tcBorders>
          </w:tcPr>
          <w:p w14:paraId="4E11672A" w14:textId="77777777" w:rsidR="009207BE" w:rsidRDefault="009207BE" w:rsidP="00AC76E8"/>
        </w:tc>
      </w:tr>
    </w:tbl>
    <w:p w14:paraId="3A9AA681" w14:textId="0543E639" w:rsidR="00FC76A4" w:rsidRDefault="001F41F4" w:rsidP="00650757">
      <w:pPr>
        <w:pStyle w:val="Nadpis1"/>
      </w:pPr>
      <w:bookmarkStart w:id="1" w:name="_Toc195184928"/>
      <w:r>
        <w:t>Úvod</w:t>
      </w:r>
      <w:bookmarkEnd w:id="1"/>
    </w:p>
    <w:p w14:paraId="13A14F89" w14:textId="77777777" w:rsidR="001F41F4" w:rsidRDefault="001F41F4" w:rsidP="00E16608"/>
    <w:p w14:paraId="2E74EA47" w14:textId="6632D526" w:rsidR="00E16608" w:rsidRDefault="00E16608" w:rsidP="00E40EAB">
      <w:pPr>
        <w:jc w:val="both"/>
      </w:pPr>
      <w:r>
        <w:t>Vláda ČR dne 13. prosince 2023 schválila Konsolidované znění aktualizace Národn</w:t>
      </w:r>
      <w:r w:rsidR="008503B1">
        <w:t xml:space="preserve">ího plánu obnovy, </w:t>
      </w:r>
      <w:r>
        <w:t>které obsahovalo i nově vytvořenou komponentu 5.3 Strategicky řízený a mezinárodně konkurenceschopný ekosystém výzkumu, vývoje a inovací (dále jen „komponenta 5.3“), která má reformní charakter a klade si za cíl:</w:t>
      </w:r>
    </w:p>
    <w:p w14:paraId="564C5F69" w14:textId="74A4F339" w:rsidR="00E16608" w:rsidRDefault="00E16608" w:rsidP="007F5475">
      <w:pPr>
        <w:pStyle w:val="Odstavecseseznamem"/>
        <w:numPr>
          <w:ilvl w:val="0"/>
          <w:numId w:val="17"/>
        </w:numPr>
        <w:jc w:val="both"/>
      </w:pPr>
      <w:r>
        <w:t xml:space="preserve">posílení kapacit strategické inteligence pro </w:t>
      </w:r>
      <w:r w:rsidR="008D0BE1">
        <w:t>VVI</w:t>
      </w:r>
      <w:r>
        <w:t xml:space="preserve"> v ČR, prostřednictvím využití a rozšíření kapacity tzv. projek</w:t>
      </w:r>
      <w:r w:rsidR="001670CF">
        <w:t xml:space="preserve">tu sdílených činností STRATIN+ </w:t>
      </w:r>
    </w:p>
    <w:p w14:paraId="4AF53322" w14:textId="7D1C6242" w:rsidR="00E16608" w:rsidRDefault="00E16608" w:rsidP="007F5475">
      <w:pPr>
        <w:pStyle w:val="Odstavecseseznamem"/>
        <w:numPr>
          <w:ilvl w:val="0"/>
          <w:numId w:val="17"/>
        </w:numPr>
        <w:jc w:val="both"/>
      </w:pPr>
      <w:r>
        <w:t xml:space="preserve">vytvoření programu EXCELLENCE a </w:t>
      </w:r>
    </w:p>
    <w:p w14:paraId="3BB78016" w14:textId="4C775FD7" w:rsidR="00E16608" w:rsidRDefault="00E16608" w:rsidP="007F5475">
      <w:pPr>
        <w:pStyle w:val="Odstavecseseznamem"/>
        <w:numPr>
          <w:ilvl w:val="0"/>
          <w:numId w:val="17"/>
        </w:numPr>
        <w:jc w:val="both"/>
      </w:pPr>
      <w:r>
        <w:t>harmonizaci prováděcích pravidel pro udělení veřejné podpor</w:t>
      </w:r>
      <w:r w:rsidR="0005033A">
        <w:t xml:space="preserve">y </w:t>
      </w:r>
      <w:r w:rsidR="008D0BE1">
        <w:t>VVI</w:t>
      </w:r>
      <w:r w:rsidR="00AD4336">
        <w:t xml:space="preserve"> (</w:t>
      </w:r>
      <w:r w:rsidR="00334298">
        <w:t xml:space="preserve">dále jen </w:t>
      </w:r>
      <w:r w:rsidR="00AD4336">
        <w:t>Harmonizace)</w:t>
      </w:r>
      <w:r>
        <w:t>.</w:t>
      </w:r>
    </w:p>
    <w:p w14:paraId="09B99294" w14:textId="6EDADD56" w:rsidR="00E16608" w:rsidRDefault="00E16608" w:rsidP="00E40EAB">
      <w:pPr>
        <w:jc w:val="both"/>
      </w:pPr>
      <w:r>
        <w:t>Gesce impleme</w:t>
      </w:r>
      <w:r w:rsidR="00AD4336">
        <w:t xml:space="preserve">ntace opatření pro </w:t>
      </w:r>
      <w:r w:rsidR="00942CC2">
        <w:t xml:space="preserve">Harmonizaci </w:t>
      </w:r>
      <w:r w:rsidR="00AD4336">
        <w:t xml:space="preserve">pak </w:t>
      </w:r>
      <w:r>
        <w:t xml:space="preserve">spadá do kompetence RVVI ve spolupráci se všemi poskytovateli </w:t>
      </w:r>
      <w:r w:rsidR="00556E56">
        <w:t xml:space="preserve">účelové </w:t>
      </w:r>
      <w:r>
        <w:t xml:space="preserve">podpory na </w:t>
      </w:r>
      <w:r w:rsidR="008D0BE1">
        <w:t>VVI</w:t>
      </w:r>
      <w:r>
        <w:t xml:space="preserve"> z veřejných prostředků ČR i zástupci </w:t>
      </w:r>
      <w:r w:rsidR="00E954E8">
        <w:t>uchazečů/příjemců.</w:t>
      </w:r>
    </w:p>
    <w:p w14:paraId="2F38EF4A" w14:textId="6C9FD593" w:rsidR="00E16608" w:rsidRPr="009955D6" w:rsidRDefault="00E16608" w:rsidP="003E1CEB">
      <w:pPr>
        <w:jc w:val="both"/>
        <w:rPr>
          <w:b/>
        </w:rPr>
      </w:pPr>
      <w:r>
        <w:t>Výsledkem procesu implem</w:t>
      </w:r>
      <w:r w:rsidR="0005033A">
        <w:t xml:space="preserve">entace opatření Harmonizace je přijetí </w:t>
      </w:r>
      <w:r>
        <w:t>a zveřejnění metodického pokynu</w:t>
      </w:r>
      <w:r w:rsidR="001670CF">
        <w:t xml:space="preserve"> </w:t>
      </w:r>
      <w:r>
        <w:t xml:space="preserve">RVVI za účelem harmonizace metodického prostředí k poskytování účelové podpory na </w:t>
      </w:r>
      <w:r w:rsidR="008D0BE1">
        <w:t>VVI</w:t>
      </w:r>
      <w:r>
        <w:t xml:space="preserve"> napříč všemi poskytovateli</w:t>
      </w:r>
      <w:r w:rsidR="00DF4FD9">
        <w:t xml:space="preserve"> i s využitím </w:t>
      </w:r>
      <w:r>
        <w:t>standardních kritérií pro účast v pr</w:t>
      </w:r>
      <w:r w:rsidR="008503B1">
        <w:t xml:space="preserve">ojektech rámcového programu EU </w:t>
      </w:r>
      <w:r w:rsidR="00DF4FD9">
        <w:t>pro</w:t>
      </w:r>
      <w:r w:rsidR="00E40EAB">
        <w:t xml:space="preserve"> výzkum a inovace, což napomůže</w:t>
      </w:r>
      <w:r w:rsidR="00DF4FD9">
        <w:t xml:space="preserve"> harmonizaci</w:t>
      </w:r>
      <w:r>
        <w:t xml:space="preserve"> prostředí poskytování podpory na </w:t>
      </w:r>
      <w:r w:rsidR="008D0BE1">
        <w:t>VVI</w:t>
      </w:r>
      <w:r>
        <w:t xml:space="preserve"> v ČR s</w:t>
      </w:r>
      <w:r w:rsidR="000813FF">
        <w:t> </w:t>
      </w:r>
      <w:r>
        <w:t xml:space="preserve">prostředím v EU. </w:t>
      </w:r>
      <w:r w:rsidRPr="009955D6">
        <w:rPr>
          <w:b/>
        </w:rPr>
        <w:t>Metodický pokyn je podmínka plnění milníku č. 298 NPO.</w:t>
      </w:r>
    </w:p>
    <w:p w14:paraId="6B4E5CA6" w14:textId="7A1B08F4" w:rsidR="00E16608" w:rsidRPr="007632FB" w:rsidRDefault="00E16608" w:rsidP="003E1CEB">
      <w:pPr>
        <w:jc w:val="both"/>
      </w:pPr>
      <w:r>
        <w:t xml:space="preserve">V rámci procesu zpracování </w:t>
      </w:r>
      <w:r w:rsidR="00942CC2">
        <w:t>M</w:t>
      </w:r>
      <w:r>
        <w:t xml:space="preserve">etodického pokynu </w:t>
      </w:r>
      <w:r w:rsidR="003B2FFC">
        <w:t>RVVI byly</w:t>
      </w:r>
      <w:r>
        <w:t xml:space="preserve"> shromážděny stávající analytické</w:t>
      </w:r>
      <w:r w:rsidR="007632FB">
        <w:t xml:space="preserve"> </w:t>
      </w:r>
      <w:r w:rsidR="002D6433">
        <w:t>materiály,</w:t>
      </w:r>
      <w:r w:rsidR="007632FB">
        <w:t xml:space="preserve"> </w:t>
      </w:r>
      <w:r>
        <w:t>a především došlo k ustanovení pracovní platformy pod organizační záštitou RVVI, která</w:t>
      </w:r>
      <w:r w:rsidR="00804D9A">
        <w:t> </w:t>
      </w:r>
      <w:r>
        <w:t xml:space="preserve">zahrnovala </w:t>
      </w:r>
      <w:r w:rsidR="00474BB7">
        <w:t xml:space="preserve">jak </w:t>
      </w:r>
      <w:r>
        <w:t>zástupce poskytovatelů programů</w:t>
      </w:r>
      <w:r w:rsidR="004D5EEB">
        <w:rPr>
          <w:rStyle w:val="Znakapoznpodarou"/>
        </w:rPr>
        <w:footnoteReference w:id="2"/>
      </w:r>
      <w:r>
        <w:t xml:space="preserve"> účelové podpory na </w:t>
      </w:r>
      <w:r w:rsidR="008D0BE1">
        <w:t>VVI</w:t>
      </w:r>
      <w:r>
        <w:t xml:space="preserve"> z veřejných prostředků ČR</w:t>
      </w:r>
      <w:r w:rsidR="000813FF">
        <w:t xml:space="preserve"> a věcně příslušných resortů</w:t>
      </w:r>
      <w:r>
        <w:t>, tak i zástupce</w:t>
      </w:r>
      <w:r w:rsidR="00E44CDC">
        <w:t xml:space="preserve"> </w:t>
      </w:r>
      <w:r w:rsidR="00E954E8">
        <w:t>uchazečů/příjemců</w:t>
      </w:r>
      <w:r w:rsidR="00942CC2">
        <w:t xml:space="preserve"> a dalších zainteresovaných subjektů</w:t>
      </w:r>
      <w:r>
        <w:t xml:space="preserve">. </w:t>
      </w:r>
      <w:r w:rsidRPr="009955D6">
        <w:rPr>
          <w:b/>
        </w:rPr>
        <w:t>Jednání platformy probíhala pravidelně</w:t>
      </w:r>
      <w:r w:rsidR="00A544BC">
        <w:rPr>
          <w:b/>
        </w:rPr>
        <w:t xml:space="preserve"> (viz Příloha 9. 1)</w:t>
      </w:r>
      <w:r w:rsidRPr="009955D6">
        <w:rPr>
          <w:b/>
        </w:rPr>
        <w:t xml:space="preserve"> a </w:t>
      </w:r>
      <w:r w:rsidR="003B2FFC" w:rsidRPr="009955D6">
        <w:rPr>
          <w:b/>
        </w:rPr>
        <w:t>závěry</w:t>
      </w:r>
      <w:r w:rsidR="003B2FFC">
        <w:rPr>
          <w:b/>
        </w:rPr>
        <w:t xml:space="preserve"> </w:t>
      </w:r>
      <w:r w:rsidR="003B2FFC" w:rsidRPr="009955D6">
        <w:rPr>
          <w:b/>
        </w:rPr>
        <w:t>– doporučení</w:t>
      </w:r>
      <w:r w:rsidRPr="009955D6">
        <w:rPr>
          <w:b/>
        </w:rPr>
        <w:t xml:space="preserve"> vzešlá z těchto </w:t>
      </w:r>
      <w:proofErr w:type="gramStart"/>
      <w:r w:rsidRPr="009955D6">
        <w:rPr>
          <w:b/>
        </w:rPr>
        <w:t>jednán</w:t>
      </w:r>
      <w:r w:rsidR="001670CF">
        <w:rPr>
          <w:b/>
        </w:rPr>
        <w:t xml:space="preserve">í </w:t>
      </w:r>
      <w:r w:rsidR="00B54D32">
        <w:rPr>
          <w:b/>
        </w:rPr>
        <w:t xml:space="preserve">- </w:t>
      </w:r>
      <w:r w:rsidR="001670CF">
        <w:rPr>
          <w:b/>
        </w:rPr>
        <w:t>jsou</w:t>
      </w:r>
      <w:proofErr w:type="gramEnd"/>
      <w:r w:rsidR="001670CF">
        <w:rPr>
          <w:b/>
        </w:rPr>
        <w:t xml:space="preserve"> zahrnut</w:t>
      </w:r>
      <w:r w:rsidR="00B54D32">
        <w:rPr>
          <w:b/>
        </w:rPr>
        <w:t>y</w:t>
      </w:r>
      <w:r w:rsidR="001670CF">
        <w:rPr>
          <w:b/>
        </w:rPr>
        <w:t xml:space="preserve"> v MP</w:t>
      </w:r>
      <w:r w:rsidRPr="009955D6">
        <w:rPr>
          <w:b/>
        </w:rPr>
        <w:t>.</w:t>
      </w:r>
    </w:p>
    <w:p w14:paraId="28D27201" w14:textId="0EE5B021" w:rsidR="0031769B" w:rsidRDefault="0031769B" w:rsidP="003E1CEB">
      <w:pPr>
        <w:jc w:val="both"/>
        <w:rPr>
          <w:b/>
        </w:rPr>
      </w:pPr>
      <w:r>
        <w:rPr>
          <w:b/>
        </w:rPr>
        <w:t>Metodický pokyn představuje první krok k určení oblastí, procesů v rámci poskytování účelové podpory VVI, které je možné sjednotit, harmonizovat</w:t>
      </w:r>
      <w:r w:rsidR="00E954E8">
        <w:rPr>
          <w:b/>
        </w:rPr>
        <w:t xml:space="preserve"> s tím, že se jedná o kontinuální </w:t>
      </w:r>
      <w:r w:rsidR="000813FF">
        <w:rPr>
          <w:b/>
        </w:rPr>
        <w:t xml:space="preserve">a </w:t>
      </w:r>
      <w:r w:rsidR="00E954E8">
        <w:rPr>
          <w:b/>
        </w:rPr>
        <w:t>dlouhodobý proces harmonizace</w:t>
      </w:r>
      <w:r>
        <w:rPr>
          <w:b/>
        </w:rPr>
        <w:t xml:space="preserve">. Určuje dále i nositele aktivit (odpovědné subjekty: poskytovatele/příslušný útvar ÚV – </w:t>
      </w:r>
      <w:r w:rsidR="00942CC2">
        <w:rPr>
          <w:b/>
        </w:rPr>
        <w:t>S</w:t>
      </w:r>
      <w:r>
        <w:rPr>
          <w:b/>
        </w:rPr>
        <w:t>VVI)</w:t>
      </w:r>
      <w:r w:rsidR="007C41BA">
        <w:rPr>
          <w:b/>
        </w:rPr>
        <w:t>,</w:t>
      </w:r>
      <w:r>
        <w:rPr>
          <w:b/>
        </w:rPr>
        <w:t xml:space="preserve"> v jejichž kompetenci je danou oblast </w:t>
      </w:r>
      <w:r w:rsidR="000813FF">
        <w:rPr>
          <w:b/>
        </w:rPr>
        <w:t xml:space="preserve">programů účelové podpory </w:t>
      </w:r>
      <w:r>
        <w:rPr>
          <w:b/>
        </w:rPr>
        <w:t xml:space="preserve">sjednotit, harmonizovat. </w:t>
      </w:r>
    </w:p>
    <w:p w14:paraId="73C42BFE" w14:textId="524CB2DD" w:rsidR="004E1C4F" w:rsidRDefault="0031769B" w:rsidP="003E1CEB">
      <w:pPr>
        <w:jc w:val="both"/>
      </w:pPr>
      <w:r w:rsidRPr="00E40EAB">
        <w:t xml:space="preserve">Harmonogram provádění příslušných opatření (viz </w:t>
      </w:r>
      <w:r w:rsidR="00A71BFA">
        <w:t xml:space="preserve">Příloha </w:t>
      </w:r>
      <w:r w:rsidR="009B6670">
        <w:t>9</w:t>
      </w:r>
      <w:r w:rsidR="00A71BFA">
        <w:t>.3</w:t>
      </w:r>
      <w:r w:rsidRPr="00E40EAB">
        <w:t xml:space="preserve">) </w:t>
      </w:r>
      <w:r w:rsidR="00D631FB" w:rsidRPr="00E40EAB">
        <w:t xml:space="preserve">bude v následných krocích-po schválení a </w:t>
      </w:r>
      <w:r w:rsidR="003B2FFC" w:rsidRPr="00E40EAB">
        <w:t>zveřejnění MP</w:t>
      </w:r>
      <w:r w:rsidR="00D631FB" w:rsidRPr="00E40EAB">
        <w:t xml:space="preserve">-promítnut RVVI do </w:t>
      </w:r>
      <w:r w:rsidR="004E1C4F">
        <w:t>konkrétních aktivit, včetně stanovení termínů jejich realizace.</w:t>
      </w:r>
    </w:p>
    <w:p w14:paraId="498B2218" w14:textId="1CA2A5F3" w:rsidR="00E16608" w:rsidRDefault="00F76129" w:rsidP="003E1CEB">
      <w:pPr>
        <w:jc w:val="both"/>
      </w:pPr>
      <w:r>
        <w:t>MP</w:t>
      </w:r>
      <w:r w:rsidR="001670CF">
        <w:t xml:space="preserve"> </w:t>
      </w:r>
      <w:r w:rsidR="00E16608">
        <w:t>není pro poskytovatele účelové podpory závazný, ovšem pro harmonizaci, koordinaci, využití synergií a vzájemnou komunikaci se jeví jako velmi potřebné nastavit rámcové standardní výklady a</w:t>
      </w:r>
      <w:r w:rsidR="000813FF">
        <w:t> </w:t>
      </w:r>
      <w:r w:rsidR="00E16608">
        <w:t>postupy pro sdíle</w:t>
      </w:r>
      <w:r w:rsidR="001670CF">
        <w:t>ní informací a zpětné vazby. MP</w:t>
      </w:r>
      <w:r w:rsidR="00E16608">
        <w:t xml:space="preserve"> bude flexibilní pro další rozvoj programů účelové podpory </w:t>
      </w:r>
      <w:r w:rsidR="00F445DC">
        <w:t xml:space="preserve">VVI </w:t>
      </w:r>
      <w:r w:rsidR="00E954E8">
        <w:t>a bude průběžně inovován podle aktuálního vývoje v oblasti poskytování účelové podpory VVI. Zároveň</w:t>
      </w:r>
      <w:r w:rsidR="00E16608">
        <w:t xml:space="preserve"> bude jejím uživatelů</w:t>
      </w:r>
      <w:r w:rsidR="008403CD">
        <w:t>m k dispozici možnost konzultací od</w:t>
      </w:r>
      <w:r w:rsidR="00E16608">
        <w:t xml:space="preserve"> metodi</w:t>
      </w:r>
      <w:r w:rsidR="00A967D3">
        <w:t xml:space="preserve">cké </w:t>
      </w:r>
      <w:r w:rsidR="00E16608">
        <w:t>podpory</w:t>
      </w:r>
      <w:r w:rsidR="009955D6">
        <w:t xml:space="preserve"> věcně příslušného útvaru</w:t>
      </w:r>
      <w:r w:rsidR="00F22C90">
        <w:t xml:space="preserve"> ÚV-</w:t>
      </w:r>
      <w:r w:rsidR="00F445DC">
        <w:t>S</w:t>
      </w:r>
      <w:r w:rsidR="00F22C90">
        <w:t xml:space="preserve">VVI. </w:t>
      </w:r>
    </w:p>
    <w:p w14:paraId="420DFB7F" w14:textId="26C52B74" w:rsidR="002F31C3" w:rsidRDefault="00E16608" w:rsidP="003E1CEB">
      <w:pPr>
        <w:jc w:val="both"/>
      </w:pPr>
      <w:r w:rsidRPr="00B973D7">
        <w:lastRenderedPageBreak/>
        <w:t xml:space="preserve">Struktura MP </w:t>
      </w:r>
      <w:r w:rsidR="00B973D7" w:rsidRPr="00B973D7">
        <w:t xml:space="preserve">se </w:t>
      </w:r>
      <w:r w:rsidR="004E4DD8" w:rsidRPr="00B973D7">
        <w:t xml:space="preserve">dotýká procesu </w:t>
      </w:r>
      <w:r w:rsidRPr="00B973D7">
        <w:t xml:space="preserve">přípravy, schvalování, implementace, </w:t>
      </w:r>
      <w:r w:rsidR="00FD3183">
        <w:t xml:space="preserve">ex-ante </w:t>
      </w:r>
      <w:r w:rsidRPr="00B973D7">
        <w:t>hodnocení /evaluac</w:t>
      </w:r>
      <w:r w:rsidR="00567BC8">
        <w:t>e</w:t>
      </w:r>
      <w:r w:rsidR="004E4DD8" w:rsidRPr="00B973D7">
        <w:t xml:space="preserve"> programu</w:t>
      </w:r>
      <w:r w:rsidRPr="00B973D7">
        <w:t xml:space="preserve">, nastavení komunikace mezi poskytovateli a </w:t>
      </w:r>
      <w:r w:rsidR="00E954E8">
        <w:t>uchazeči/příjemci</w:t>
      </w:r>
      <w:r w:rsidRPr="00B973D7">
        <w:t>, vče</w:t>
      </w:r>
      <w:r w:rsidR="004E4DD8" w:rsidRPr="00B973D7">
        <w:t xml:space="preserve">tně využití IS. Dále se zabývá </w:t>
      </w:r>
      <w:r w:rsidRPr="00B973D7">
        <w:t>i zajištěním metodické podpory pro poskytovatele atd</w:t>
      </w:r>
      <w:r w:rsidR="00556E56" w:rsidRPr="00B973D7">
        <w:t>.</w:t>
      </w:r>
      <w:r w:rsidR="00D631FB">
        <w:t xml:space="preserve"> </w:t>
      </w:r>
    </w:p>
    <w:p w14:paraId="2BF577C0" w14:textId="7520C240" w:rsidR="00842C84" w:rsidRDefault="00842C84" w:rsidP="003E1CEB">
      <w:pPr>
        <w:jc w:val="both"/>
      </w:pPr>
      <w:r>
        <w:t xml:space="preserve">Jedním z navazujících </w:t>
      </w:r>
      <w:r w:rsidR="00300D06">
        <w:t>úkolů</w:t>
      </w:r>
      <w:r>
        <w:t xml:space="preserve"> a doporučení, vzniklých z jednáních pracovní platformy, je i vyt</w:t>
      </w:r>
      <w:r w:rsidR="00300D06">
        <w:t>v</w:t>
      </w:r>
      <w:r>
        <w:t xml:space="preserve">oření </w:t>
      </w:r>
      <w:r w:rsidR="000813FF">
        <w:t>KMP</w:t>
      </w:r>
      <w:r>
        <w:t xml:space="preserve"> v gesci </w:t>
      </w:r>
      <w:r w:rsidR="00F445DC">
        <w:t>ÚV-</w:t>
      </w:r>
      <w:r>
        <w:t>SVVI</w:t>
      </w:r>
      <w:r w:rsidR="00E000AA">
        <w:t xml:space="preserve"> (viz </w:t>
      </w:r>
      <w:r w:rsidR="00E71724">
        <w:t>kap. 3</w:t>
      </w:r>
      <w:r w:rsidR="00E000AA">
        <w:t>.</w:t>
      </w:r>
      <w:r w:rsidR="00E71724">
        <w:t>2</w:t>
      </w:r>
      <w:r>
        <w:t>.</w:t>
      </w:r>
      <w:r w:rsidR="00E000AA">
        <w:t>).</w:t>
      </w:r>
      <w:r>
        <w:t xml:space="preserve">  </w:t>
      </w:r>
    </w:p>
    <w:p w14:paraId="02ADB1F2" w14:textId="258EC04E" w:rsidR="00D631FB" w:rsidRDefault="00D631FB" w:rsidP="00E16608"/>
    <w:p w14:paraId="6F6E8E4A" w14:textId="1A11B6F1" w:rsidR="00E16608" w:rsidRDefault="00E16608" w:rsidP="008922B0">
      <w:pPr>
        <w:pStyle w:val="Nadpis1"/>
      </w:pPr>
      <w:bookmarkStart w:id="2" w:name="_Toc195184929"/>
      <w:r>
        <w:t>Platná legislativa</w:t>
      </w:r>
      <w:bookmarkEnd w:id="2"/>
      <w:r>
        <w:t xml:space="preserve">  </w:t>
      </w:r>
    </w:p>
    <w:p w14:paraId="34A4091A" w14:textId="77777777" w:rsidR="002F31C3" w:rsidRPr="002F31C3" w:rsidRDefault="002F31C3" w:rsidP="002F31C3"/>
    <w:p w14:paraId="650A28C6" w14:textId="2325CE6D" w:rsidR="002F31C3" w:rsidRDefault="00C77F9F" w:rsidP="00C77F9F">
      <w:pPr>
        <w:jc w:val="both"/>
      </w:pPr>
      <w:r>
        <w:t xml:space="preserve">Metodický pokyn </w:t>
      </w:r>
      <w:r w:rsidR="002F31C3">
        <w:t>vychází</w:t>
      </w:r>
      <w:r w:rsidR="0032359E">
        <w:t xml:space="preserve"> z platné legislativy v </w:t>
      </w:r>
      <w:r w:rsidR="00F07945">
        <w:t>době zpracová</w:t>
      </w:r>
      <w:r w:rsidR="005E1DC6">
        <w:t>vá</w:t>
      </w:r>
      <w:r w:rsidR="00F07945">
        <w:t xml:space="preserve">ní </w:t>
      </w:r>
      <w:r w:rsidR="005E1DC6">
        <w:t>dokumentu</w:t>
      </w:r>
      <w:r w:rsidR="00F07945">
        <w:t xml:space="preserve">. </w:t>
      </w:r>
      <w:r w:rsidR="005E1DC6">
        <w:t xml:space="preserve">Pokud </w:t>
      </w:r>
      <w:r w:rsidR="0032359E">
        <w:t>dojde ke</w:t>
      </w:r>
      <w:r w:rsidR="00804D9A">
        <w:t> </w:t>
      </w:r>
      <w:r w:rsidR="0032359E">
        <w:t>změně/aktualizaci základní</w:t>
      </w:r>
      <w:r w:rsidR="00685442">
        <w:t>ch</w:t>
      </w:r>
      <w:r w:rsidR="0032359E">
        <w:t xml:space="preserve"> právníc</w:t>
      </w:r>
      <w:r w:rsidR="005E1DC6">
        <w:t>h norem, bude MP</w:t>
      </w:r>
      <w:r w:rsidR="0032359E">
        <w:t xml:space="preserve"> následně aktualizován</w:t>
      </w:r>
      <w:r w:rsidR="00E16608">
        <w:t>.</w:t>
      </w:r>
    </w:p>
    <w:p w14:paraId="146AFBEA" w14:textId="04C90B89" w:rsidR="00E16608" w:rsidRDefault="00E16608" w:rsidP="00C77F9F">
      <w:pPr>
        <w:jc w:val="both"/>
      </w:pPr>
      <w:r>
        <w:t xml:space="preserve">Hlavní </w:t>
      </w:r>
      <w:r w:rsidR="00685442">
        <w:t>vnitrostátní</w:t>
      </w:r>
      <w:r w:rsidR="0030443C">
        <w:t xml:space="preserve"> </w:t>
      </w:r>
      <w:r>
        <w:t>právní normy</w:t>
      </w:r>
      <w:r w:rsidR="008403CD">
        <w:t xml:space="preserve"> a dokumenty</w:t>
      </w:r>
      <w:r>
        <w:t xml:space="preserve">, na </w:t>
      </w:r>
      <w:r w:rsidR="005E1DC6">
        <w:t xml:space="preserve">kterých MP </w:t>
      </w:r>
      <w:r w:rsidR="00F07945">
        <w:t>staví</w:t>
      </w:r>
      <w:r>
        <w:t>:</w:t>
      </w:r>
    </w:p>
    <w:p w14:paraId="341B8AFE" w14:textId="2FCC4B08" w:rsidR="00E16608" w:rsidRDefault="00E16608" w:rsidP="007F5475">
      <w:pPr>
        <w:pStyle w:val="Odstavecseseznamem"/>
        <w:numPr>
          <w:ilvl w:val="0"/>
          <w:numId w:val="18"/>
        </w:numPr>
        <w:jc w:val="both"/>
      </w:pPr>
      <w:r>
        <w:t>zákon č. 130/2002 Sb., o podpoře výzkumu, experimentálního vývoje a inovací z veřejný</w:t>
      </w:r>
      <w:r w:rsidR="00F07945">
        <w:t>ch prostředků</w:t>
      </w:r>
      <w:r w:rsidR="009C654A">
        <w:t>,</w:t>
      </w:r>
      <w:r w:rsidR="0096600D">
        <w:t xml:space="preserve"> v</w:t>
      </w:r>
      <w:r w:rsidR="009C654A">
        <w:t xml:space="preserve">e </w:t>
      </w:r>
      <w:r w:rsidR="0096600D">
        <w:t xml:space="preserve">znění </w:t>
      </w:r>
      <w:r w:rsidR="009C654A">
        <w:t>pozdějších předpisů</w:t>
      </w:r>
      <w:r w:rsidR="0075408B">
        <w:t xml:space="preserve"> (dále jen „zákon č. 130/2002 Sb.“</w:t>
      </w:r>
      <w:r w:rsidR="00E01D8E">
        <w:t xml:space="preserve"> nebo „ZPVV“</w:t>
      </w:r>
      <w:r w:rsidR="0075408B">
        <w:t>)</w:t>
      </w:r>
    </w:p>
    <w:p w14:paraId="1FB00DB0" w14:textId="4B673797" w:rsidR="00E16608" w:rsidRDefault="00D721BE" w:rsidP="007F5475">
      <w:pPr>
        <w:pStyle w:val="Odstavecseseznamem"/>
        <w:numPr>
          <w:ilvl w:val="0"/>
          <w:numId w:val="18"/>
        </w:numPr>
        <w:jc w:val="both"/>
      </w:pPr>
      <w:r>
        <w:t>z</w:t>
      </w:r>
      <w:r w:rsidR="00E16608">
        <w:t>ákon č. 134/2016 Sb.  o zadávání veřejných zakázek</w:t>
      </w:r>
      <w:r w:rsidR="00685442">
        <w:t>, ve znění pozdějších předpisů</w:t>
      </w:r>
    </w:p>
    <w:p w14:paraId="73E83407" w14:textId="4C4C7713" w:rsidR="00CE492B" w:rsidRDefault="000267DA" w:rsidP="007F5475">
      <w:pPr>
        <w:pStyle w:val="Odstavecseseznamem"/>
        <w:numPr>
          <w:ilvl w:val="0"/>
          <w:numId w:val="18"/>
        </w:numPr>
        <w:jc w:val="both"/>
      </w:pPr>
      <w:r>
        <w:t>z</w:t>
      </w:r>
      <w:r w:rsidR="00CA619E" w:rsidRPr="00CA619E">
        <w:t>ákon č. 218/2000 Sb.,</w:t>
      </w:r>
      <w:r w:rsidR="00A667F5">
        <w:t xml:space="preserve"> o rozpočtových pravidlech</w:t>
      </w:r>
      <w:r w:rsidR="00685442">
        <w:t>,</w:t>
      </w:r>
      <w:r>
        <w:t xml:space="preserve"> </w:t>
      </w:r>
      <w:r w:rsidR="00CA619E" w:rsidRPr="00CA619E">
        <w:t>ve znění pozdějších předpisů</w:t>
      </w:r>
    </w:p>
    <w:p w14:paraId="72DEFBD0" w14:textId="65C70BCD" w:rsidR="007A1FE6" w:rsidRDefault="00A255E7" w:rsidP="007F5475">
      <w:pPr>
        <w:pStyle w:val="Odstavecseseznamem"/>
        <w:numPr>
          <w:ilvl w:val="0"/>
          <w:numId w:val="18"/>
        </w:numPr>
        <w:jc w:val="both"/>
      </w:pPr>
      <w:r>
        <w:t>z</w:t>
      </w:r>
      <w:r w:rsidR="007A1FE6" w:rsidRPr="007A1FE6">
        <w:t>ákon č. 320/2001 Sb., o finanční kontrole ve veřejné správě a o změně některých zákonů (zákon o finanční kontrole), ve znění pozdějších předpisů</w:t>
      </w:r>
    </w:p>
    <w:p w14:paraId="192966BB" w14:textId="799997D8" w:rsidR="004B2835" w:rsidRDefault="00D721BE" w:rsidP="007F5475">
      <w:pPr>
        <w:pStyle w:val="Odstavecseseznamem"/>
        <w:numPr>
          <w:ilvl w:val="0"/>
          <w:numId w:val="18"/>
        </w:numPr>
        <w:jc w:val="both"/>
      </w:pPr>
      <w:r>
        <w:t>n</w:t>
      </w:r>
      <w:r w:rsidR="004B2835">
        <w:t>ařízení vlády č. 397</w:t>
      </w:r>
      <w:r w:rsidR="00685442">
        <w:t>/</w:t>
      </w:r>
      <w:r w:rsidR="004B2835">
        <w:t>2009</w:t>
      </w:r>
      <w:r w:rsidR="00685442">
        <w:t>,</w:t>
      </w:r>
      <w:r w:rsidR="004B2835">
        <w:t xml:space="preserve"> o informačním systému výzkumu, experimentálního vývoje a</w:t>
      </w:r>
      <w:r w:rsidR="00804D9A">
        <w:t> </w:t>
      </w:r>
      <w:r w:rsidR="004B2835">
        <w:t xml:space="preserve">inovací </w:t>
      </w:r>
    </w:p>
    <w:p w14:paraId="4009E37E" w14:textId="6EFB0B25" w:rsidR="00E16608" w:rsidRDefault="00D721BE" w:rsidP="007F5475">
      <w:pPr>
        <w:pStyle w:val="Odstavecseseznamem"/>
        <w:numPr>
          <w:ilvl w:val="0"/>
          <w:numId w:val="18"/>
        </w:numPr>
        <w:jc w:val="both"/>
      </w:pPr>
      <w:r>
        <w:t>u</w:t>
      </w:r>
      <w:r w:rsidR="002F31C3">
        <w:t xml:space="preserve">snesení </w:t>
      </w:r>
      <w:r w:rsidR="00E16608">
        <w:t>vlády ČR ze dne 13. května 2015</w:t>
      </w:r>
      <w:r w:rsidR="00BE5EC4">
        <w:t xml:space="preserve"> č. 351</w:t>
      </w:r>
      <w:r w:rsidR="00E16608">
        <w:t xml:space="preserve">: Základní </w:t>
      </w:r>
      <w:r w:rsidR="006F06E2">
        <w:t>Zásady</w:t>
      </w:r>
      <w:r w:rsidR="00E16608">
        <w:t xml:space="preserve"> přípravy a hodnocení programů a skupin grantových projektů výzkumu, vývoje a inovací </w:t>
      </w:r>
    </w:p>
    <w:p w14:paraId="56692859" w14:textId="6DD6B3FF" w:rsidR="00E16608" w:rsidRDefault="00E16608" w:rsidP="007F5475">
      <w:pPr>
        <w:pStyle w:val="Odstavecseseznamem"/>
        <w:numPr>
          <w:ilvl w:val="0"/>
          <w:numId w:val="18"/>
        </w:numPr>
        <w:jc w:val="both"/>
      </w:pPr>
      <w:r>
        <w:t xml:space="preserve">Postup Rady při hodnocení návrhů programů účelové podpory a skupin grantových projektů (schválený na 351. zasedání RVVI dne 29. listopadu 2019) </w:t>
      </w:r>
    </w:p>
    <w:p w14:paraId="55D1DC99" w14:textId="3D57D0DA" w:rsidR="00797653" w:rsidRDefault="000A19B4" w:rsidP="00797653">
      <w:pPr>
        <w:jc w:val="both"/>
      </w:pPr>
      <w:r>
        <w:t xml:space="preserve">V procesu poskytování účelové podpory </w:t>
      </w:r>
      <w:r w:rsidR="00F445DC">
        <w:t xml:space="preserve">na VVI </w:t>
      </w:r>
      <w:r>
        <w:t>musí poskytovatelé postupovat i v souladu s</w:t>
      </w:r>
      <w:r w:rsidR="00797653">
        <w:t> </w:t>
      </w:r>
      <w:r w:rsidRPr="00286015">
        <w:rPr>
          <w:b/>
          <w:bCs/>
        </w:rPr>
        <w:t>N</w:t>
      </w:r>
      <w:r>
        <w:rPr>
          <w:b/>
          <w:bCs/>
        </w:rPr>
        <w:t>AŘÍZENÍM</w:t>
      </w:r>
      <w:r w:rsidRPr="000A19B4">
        <w:rPr>
          <w:b/>
          <w:bCs/>
        </w:rPr>
        <w:t xml:space="preserve"> K</w:t>
      </w:r>
      <w:r>
        <w:rPr>
          <w:b/>
          <w:bCs/>
        </w:rPr>
        <w:t>OMISE</w:t>
      </w:r>
      <w:r w:rsidRPr="000A19B4">
        <w:rPr>
          <w:b/>
          <w:bCs/>
        </w:rPr>
        <w:t xml:space="preserve"> (EU) č. 651/2014</w:t>
      </w:r>
      <w:r w:rsidRPr="000A19B4">
        <w:t> </w:t>
      </w:r>
      <w:r w:rsidRPr="000A19B4">
        <w:rPr>
          <w:b/>
          <w:bCs/>
        </w:rPr>
        <w:t>ze dne 17. června 2014</w:t>
      </w:r>
      <w:r w:rsidRPr="000A19B4">
        <w:t>, kterým se v souladu s články 107 a</w:t>
      </w:r>
      <w:r w:rsidR="00797653">
        <w:t> </w:t>
      </w:r>
      <w:r w:rsidRPr="000A19B4">
        <w:t>108 Smlouvy prohlašují určité kategorie podpory za slučitelné s vnitřním trhem, tzv. </w:t>
      </w:r>
      <w:r w:rsidRPr="000A19B4">
        <w:rPr>
          <w:b/>
          <w:bCs/>
        </w:rPr>
        <w:t>obecn</w:t>
      </w:r>
      <w:r w:rsidR="00DB1C86">
        <w:rPr>
          <w:b/>
          <w:bCs/>
        </w:rPr>
        <w:t>ým</w:t>
      </w:r>
      <w:r w:rsidRPr="000A19B4">
        <w:rPr>
          <w:b/>
          <w:bCs/>
        </w:rPr>
        <w:t xml:space="preserve"> nařízení</w:t>
      </w:r>
      <w:r w:rsidR="00DB1C86">
        <w:rPr>
          <w:b/>
          <w:bCs/>
        </w:rPr>
        <w:t>m</w:t>
      </w:r>
      <w:r w:rsidRPr="000A19B4">
        <w:rPr>
          <w:b/>
          <w:bCs/>
        </w:rPr>
        <w:t xml:space="preserve"> o</w:t>
      </w:r>
      <w:r w:rsidR="00804D9A">
        <w:rPr>
          <w:b/>
          <w:bCs/>
        </w:rPr>
        <w:t> </w:t>
      </w:r>
      <w:r w:rsidRPr="000A19B4">
        <w:rPr>
          <w:b/>
          <w:bCs/>
        </w:rPr>
        <w:t>blokových výjimkách</w:t>
      </w:r>
      <w:r w:rsidRPr="000A19B4">
        <w:t xml:space="preserve"> (dále jen </w:t>
      </w:r>
      <w:r w:rsidR="00DB1C86">
        <w:t>„</w:t>
      </w:r>
      <w:r w:rsidRPr="000A19B4">
        <w:t>GBER</w:t>
      </w:r>
      <w:r w:rsidR="00DB1C86">
        <w:t>“</w:t>
      </w:r>
      <w:r w:rsidR="001C3A58">
        <w:t xml:space="preserve">-General Bloc </w:t>
      </w:r>
      <w:proofErr w:type="spellStart"/>
      <w:r w:rsidR="001C3A58">
        <w:t>Exemption</w:t>
      </w:r>
      <w:proofErr w:type="spellEnd"/>
      <w:r w:rsidR="001C3A58">
        <w:t xml:space="preserve"> </w:t>
      </w:r>
      <w:proofErr w:type="spellStart"/>
      <w:r w:rsidR="001C3A58">
        <w:t>Regulation</w:t>
      </w:r>
      <w:proofErr w:type="spellEnd"/>
      <w:r w:rsidRPr="000A19B4">
        <w:t>), které nabylo účinnosti 1. 7. 2014</w:t>
      </w:r>
      <w:r>
        <w:t xml:space="preserve">. </w:t>
      </w:r>
      <w:r w:rsidRPr="000A19B4">
        <w:t>Nařízení bylo naposledy novelizováno 23.</w:t>
      </w:r>
      <w:r w:rsidR="001C3A58">
        <w:t xml:space="preserve"> </w:t>
      </w:r>
      <w:r w:rsidRPr="000A19B4">
        <w:t>června 2023</w:t>
      </w:r>
      <w:r>
        <w:t xml:space="preserve"> </w:t>
      </w:r>
      <w:r w:rsidRPr="000A19B4">
        <w:rPr>
          <w:b/>
          <w:bCs/>
        </w:rPr>
        <w:t>(NAŘÍZENÍ KOMISE (EU) 2023/1315 ze dne 23. června 2023</w:t>
      </w:r>
      <w:r>
        <w:t>).</w:t>
      </w:r>
    </w:p>
    <w:p w14:paraId="73B31B6F" w14:textId="77777777" w:rsidR="00797653" w:rsidRDefault="00797653">
      <w:r>
        <w:br w:type="page"/>
      </w:r>
    </w:p>
    <w:p w14:paraId="459436F8" w14:textId="77777777" w:rsidR="006C418D" w:rsidRDefault="006C418D" w:rsidP="00523F02">
      <w:bookmarkStart w:id="3" w:name="_Hlk192848961"/>
    </w:p>
    <w:p w14:paraId="15A0C788" w14:textId="7A0C5134" w:rsidR="007F1794" w:rsidRDefault="007F1794" w:rsidP="007F1794">
      <w:pPr>
        <w:pStyle w:val="Nadpis1"/>
      </w:pPr>
      <w:bookmarkStart w:id="4" w:name="_Toc195184930"/>
      <w:r>
        <w:t>Nástroje pro zajištění metodické a koordinační role ÚV-SVVI</w:t>
      </w:r>
      <w:bookmarkEnd w:id="4"/>
    </w:p>
    <w:p w14:paraId="28221C35" w14:textId="3FA0E9C2" w:rsidR="007F1794" w:rsidRDefault="007F1794" w:rsidP="007F1794"/>
    <w:p w14:paraId="4795A62E" w14:textId="77777777" w:rsidR="007F1794" w:rsidRDefault="007F1794" w:rsidP="007F1794">
      <w:pPr>
        <w:pStyle w:val="Nadpis2"/>
      </w:pPr>
      <w:bookmarkStart w:id="5" w:name="_Toc195184931"/>
      <w:r w:rsidRPr="00DF67E6">
        <w:t>Vytvoření harmonizační a metodické jednotky na centrální úrovni</w:t>
      </w:r>
      <w:bookmarkEnd w:id="5"/>
    </w:p>
    <w:p w14:paraId="53150AFA" w14:textId="08CAB626" w:rsidR="007F1794" w:rsidRDefault="007F1794" w:rsidP="007F1794">
      <w:pPr>
        <w:jc w:val="both"/>
      </w:pPr>
      <w:r w:rsidRPr="000C7BAA">
        <w:t>Vytvoření harmonizační a metodické jednotky na centrální úrovni</w:t>
      </w:r>
      <w:r>
        <w:t xml:space="preserve"> v rámci příslušného útvaru ÚV</w:t>
      </w:r>
      <w:r w:rsidR="003B2FFC">
        <w:t>-</w:t>
      </w:r>
      <w:r>
        <w:t>SVVI vyplynulo z jednání Platformy pro přípravu MP. Hlavním úkolem HMJ bude posk</w:t>
      </w:r>
      <w:r w:rsidR="00E000AA">
        <w:t xml:space="preserve">ytování </w:t>
      </w:r>
      <w:r>
        <w:t>met</w:t>
      </w:r>
      <w:r w:rsidR="00E000AA">
        <w:t xml:space="preserve">odické </w:t>
      </w:r>
      <w:r>
        <w:t xml:space="preserve">podpory poskytovatelům účelové podpory </w:t>
      </w:r>
      <w:r w:rsidR="008D0BE1">
        <w:t>VVI</w:t>
      </w:r>
      <w:r>
        <w:t>.</w:t>
      </w:r>
    </w:p>
    <w:p w14:paraId="6952F19C" w14:textId="77777777" w:rsidR="007F1794" w:rsidRDefault="007F1794" w:rsidP="007F1794">
      <w:pPr>
        <w:pStyle w:val="Nadpis2"/>
      </w:pPr>
      <w:bookmarkStart w:id="6" w:name="_Toc195184932"/>
      <w:r>
        <w:t>Komunikačně metodická platforma</w:t>
      </w:r>
      <w:bookmarkEnd w:id="6"/>
      <w:r>
        <w:t xml:space="preserve">  </w:t>
      </w:r>
    </w:p>
    <w:p w14:paraId="2E0BD0E1" w14:textId="5D05D08B" w:rsidR="007F1794" w:rsidRDefault="007F1794" w:rsidP="007F1794">
      <w:pPr>
        <w:jc w:val="both"/>
      </w:pPr>
      <w:r>
        <w:t xml:space="preserve">Metodická podpora se nebude týkat jen přímé komunikace s jednotlivými poskytovateli, ale v rámci nově vytvořené </w:t>
      </w:r>
      <w:r w:rsidR="00112874" w:rsidRPr="009D786B">
        <w:t>KMP</w:t>
      </w:r>
      <w:r w:rsidR="009D786B" w:rsidRPr="009D786B">
        <w:t xml:space="preserve"> </w:t>
      </w:r>
      <w:r w:rsidRPr="009D786B">
        <w:t xml:space="preserve">bude koordinovat </w:t>
      </w:r>
      <w:r w:rsidR="00C3564A" w:rsidRPr="009D786B">
        <w:t>a navrhovat změny, zejména nastavení pravidel pro přípravu, realizaci a vyhodnocování programů a veřejných soutěží. Předpokládá se rovněž</w:t>
      </w:r>
      <w:r w:rsidR="00F445DC">
        <w:t xml:space="preserve"> vzájemná</w:t>
      </w:r>
      <w:r w:rsidR="00C3564A" w:rsidRPr="009D786B">
        <w:t xml:space="preserve"> koordinace </w:t>
      </w:r>
      <w:r w:rsidRPr="009D786B">
        <w:t>termín</w:t>
      </w:r>
      <w:r w:rsidR="00C3564A" w:rsidRPr="009D786B">
        <w:t xml:space="preserve">ů </w:t>
      </w:r>
      <w:r w:rsidRPr="009D786B">
        <w:t>vyhlašování veřejných soutěží</w:t>
      </w:r>
      <w:r w:rsidR="00D528C2" w:rsidRPr="009D786B">
        <w:t xml:space="preserve"> jednotlivými poskytovateli účelové podpory</w:t>
      </w:r>
      <w:r w:rsidR="00C3564A" w:rsidRPr="009D786B">
        <w:t>, případně, bude-li to žádoucí, i zaměření programů a veřejných soutěží</w:t>
      </w:r>
      <w:r w:rsidRPr="009D786B">
        <w:t>.</w:t>
      </w:r>
    </w:p>
    <w:p w14:paraId="16590E19" w14:textId="2FF2A666" w:rsidR="007F1794" w:rsidRDefault="007F1794" w:rsidP="007F1794">
      <w:pPr>
        <w:jc w:val="both"/>
      </w:pPr>
      <w:r>
        <w:t xml:space="preserve">KMP je zaštítěna RVVI a její administrativu a organizaci zajišťuje </w:t>
      </w:r>
      <w:r w:rsidR="00797653">
        <w:t>HMJ</w:t>
      </w:r>
      <w:r>
        <w:t xml:space="preserve"> v rámci příslušného věcného útvaru ÚV –SVVI.</w:t>
      </w:r>
    </w:p>
    <w:p w14:paraId="5DFEB90C" w14:textId="512F8C3D" w:rsidR="007F1794" w:rsidRDefault="007F1794" w:rsidP="00797653">
      <w:pPr>
        <w:jc w:val="both"/>
      </w:pPr>
      <w:r>
        <w:t xml:space="preserve">Stěžejní rolí KMP je pak proces dopracování navazujících </w:t>
      </w:r>
      <w:r w:rsidR="00C3564A">
        <w:t xml:space="preserve">dílčích metodických </w:t>
      </w:r>
      <w:r>
        <w:t>opatření</w:t>
      </w:r>
      <w:r w:rsidR="007632FB">
        <w:t>/</w:t>
      </w:r>
      <w:r>
        <w:t xml:space="preserve">doporučení </w:t>
      </w:r>
      <w:r w:rsidR="00312C07">
        <w:t xml:space="preserve">vzešlých z jednání Platformy pro přípravu </w:t>
      </w:r>
      <w:r>
        <w:t>MP</w:t>
      </w:r>
      <w:r w:rsidR="00F445DC">
        <w:t>,</w:t>
      </w:r>
      <w:r w:rsidR="00312C07">
        <w:t xml:space="preserve"> </w:t>
      </w:r>
      <w:r w:rsidR="00F445DC">
        <w:t>j</w:t>
      </w:r>
      <w:r w:rsidR="00312C07">
        <w:t>ejich</w:t>
      </w:r>
      <w:r w:rsidR="00F445DC">
        <w:t>ž</w:t>
      </w:r>
      <w:r w:rsidR="00312C07">
        <w:t xml:space="preserve"> výčet je uveden v kapitole 9.4</w:t>
      </w:r>
      <w:r w:rsidR="00F445DC">
        <w:t xml:space="preserve">, přičemž se předpokládá </w:t>
      </w:r>
      <w:r w:rsidR="00424ABA">
        <w:t>i zahrnutí dalších opatření, které vzejdou ze samotných jednání KMP</w:t>
      </w:r>
      <w:r w:rsidR="004D1C7E">
        <w:t>.</w:t>
      </w:r>
    </w:p>
    <w:p w14:paraId="1B347C6A" w14:textId="6BDD602C" w:rsidR="007F1794" w:rsidRDefault="007F1794" w:rsidP="00673499">
      <w:pPr>
        <w:jc w:val="both"/>
      </w:pPr>
      <w:r>
        <w:t xml:space="preserve">Další konkrétní témata </w:t>
      </w:r>
      <w:r w:rsidR="00312C07">
        <w:t xml:space="preserve">k řešení KMP </w:t>
      </w:r>
      <w:r>
        <w:t xml:space="preserve">budou postupně doplňována, tak jak se bude vyvíjet </w:t>
      </w:r>
      <w:r w:rsidR="00312C07">
        <w:t>prostředí pro poskytování účelové podpory VVI a potřeby poskytovatelů, ale i uchazečů/příjemců.</w:t>
      </w:r>
      <w:r w:rsidR="009D786B">
        <w:t xml:space="preserve"> </w:t>
      </w:r>
      <w:r w:rsidR="00E000AA" w:rsidRPr="00D32ED4">
        <w:rPr>
          <w:b/>
        </w:rPr>
        <w:t>KMP již započala svoji činnost v prosinci 2024</w:t>
      </w:r>
      <w:r w:rsidR="00E000AA">
        <w:t xml:space="preserve">. KMP se schází na pracovní úrovni k projednávání jednotlivých dílčích doporučení k harmonizaci procesu poskytování účelové podpory VVI. </w:t>
      </w:r>
      <w:r w:rsidR="00424ABA">
        <w:t>Prvním společným výstupem je „</w:t>
      </w:r>
      <w:r w:rsidR="00424ABA" w:rsidRPr="00424ABA">
        <w:t>Vzor jednotného čestného prohlášení pro žadatele o účelovou podporu</w:t>
      </w:r>
      <w:r w:rsidR="00424ABA">
        <w:t>“</w:t>
      </w:r>
      <w:r w:rsidR="00424ABA" w:rsidRPr="00424ABA">
        <w:t xml:space="preserve"> </w:t>
      </w:r>
      <w:r w:rsidR="001E1265">
        <w:t>(viz kap. 9.2.)</w:t>
      </w:r>
      <w:r w:rsidR="004D1C7E">
        <w:t xml:space="preserve"> a</w:t>
      </w:r>
      <w:r w:rsidR="00804D9A">
        <w:t> </w:t>
      </w:r>
      <w:r w:rsidR="004D1C7E">
        <w:t>terminologické sjednocení nepřímých nákladů.</w:t>
      </w:r>
    </w:p>
    <w:bookmarkEnd w:id="3"/>
    <w:p w14:paraId="356EE1FF" w14:textId="77777777" w:rsidR="006E3DBC" w:rsidRPr="007F1794" w:rsidRDefault="006E3DBC" w:rsidP="00673499">
      <w:pPr>
        <w:jc w:val="both"/>
      </w:pPr>
    </w:p>
    <w:tbl>
      <w:tblPr>
        <w:tblStyle w:val="Mkatabulky"/>
        <w:tblW w:w="0" w:type="auto"/>
        <w:tblBorders>
          <w:top w:val="single" w:sz="12" w:space="0" w:color="FFC000"/>
          <w:left w:val="single" w:sz="12" w:space="0" w:color="FFC000"/>
          <w:bottom w:val="single" w:sz="12" w:space="0" w:color="FFC000"/>
          <w:right w:val="single" w:sz="12" w:space="0" w:color="FFC000"/>
          <w:insideH w:val="none" w:sz="0" w:space="0" w:color="auto"/>
          <w:insideV w:val="none" w:sz="0" w:space="0" w:color="auto"/>
        </w:tblBorders>
        <w:tblLook w:val="04A0" w:firstRow="1" w:lastRow="0" w:firstColumn="1" w:lastColumn="0" w:noHBand="0" w:noVBand="1"/>
      </w:tblPr>
      <w:tblGrid>
        <w:gridCol w:w="3221"/>
        <w:gridCol w:w="5821"/>
      </w:tblGrid>
      <w:tr w:rsidR="007E4D4E" w14:paraId="5D839C8D" w14:textId="77777777" w:rsidTr="006E3DBC">
        <w:trPr>
          <w:trHeight w:val="2264"/>
        </w:trPr>
        <w:tc>
          <w:tcPr>
            <w:tcW w:w="2972" w:type="dxa"/>
          </w:tcPr>
          <w:p w14:paraId="18988A76" w14:textId="6C398BC1" w:rsidR="007E4D4E" w:rsidRPr="002C25DC" w:rsidRDefault="007E4D4E" w:rsidP="007F5475">
            <w:pPr>
              <w:pStyle w:val="Odstavecseseznamem"/>
              <w:numPr>
                <w:ilvl w:val="0"/>
                <w:numId w:val="16"/>
              </w:numPr>
              <w:jc w:val="right"/>
              <w:rPr>
                <w:b/>
                <w:sz w:val="28"/>
                <w:szCs w:val="28"/>
              </w:rPr>
            </w:pPr>
            <w:r w:rsidRPr="002C25DC">
              <w:rPr>
                <w:b/>
                <w:color w:val="FFC000"/>
                <w:sz w:val="28"/>
                <w:szCs w:val="28"/>
              </w:rPr>
              <w:t xml:space="preserve">DOPORUČENÍ </w:t>
            </w:r>
            <w:r w:rsidR="00F70A60">
              <w:rPr>
                <w:b/>
                <w:color w:val="FFC000"/>
                <w:sz w:val="28"/>
                <w:szCs w:val="28"/>
              </w:rPr>
              <w:t>vzešlá z jednání platf</w:t>
            </w:r>
            <w:r w:rsidR="003935A4">
              <w:rPr>
                <w:b/>
                <w:color w:val="FFC000"/>
                <w:sz w:val="28"/>
                <w:szCs w:val="28"/>
              </w:rPr>
              <w:t>ormy pro přípravu MP</w:t>
            </w:r>
            <w:r w:rsidRPr="002C25DC">
              <w:rPr>
                <w:b/>
                <w:color w:val="FFC000"/>
                <w:sz w:val="28"/>
                <w:szCs w:val="28"/>
              </w:rPr>
              <w:t xml:space="preserve">  </w:t>
            </w:r>
            <w:r w:rsidR="002C25DC" w:rsidRPr="002C25DC">
              <w:rPr>
                <w:b/>
                <w:color w:val="FFC000"/>
                <w:sz w:val="28"/>
                <w:szCs w:val="28"/>
              </w:rPr>
              <w:t xml:space="preserve">   </w:t>
            </w:r>
          </w:p>
        </w:tc>
        <w:tc>
          <w:tcPr>
            <w:tcW w:w="6047" w:type="dxa"/>
          </w:tcPr>
          <w:p w14:paraId="6D5B5098" w14:textId="49C2F53F" w:rsidR="007E4D4E" w:rsidRPr="002C25DC" w:rsidRDefault="002C25DC" w:rsidP="007F5475">
            <w:pPr>
              <w:pStyle w:val="Odstavecseseznamem"/>
              <w:numPr>
                <w:ilvl w:val="0"/>
                <w:numId w:val="15"/>
              </w:numPr>
            </w:pPr>
            <w:r w:rsidRPr="002C25DC">
              <w:rPr>
                <w:rFonts w:ascii="Calibri" w:hAnsi="Calibri" w:cs="Calibri"/>
              </w:rPr>
              <w:t>Vytvořit komunikačně-metodickou platformu sdružující jednotlivé poskytovatele a SVVI ÚV</w:t>
            </w:r>
            <w:r w:rsidR="00DC0B3F">
              <w:rPr>
                <w:rFonts w:ascii="Calibri" w:hAnsi="Calibri" w:cs="Calibri"/>
              </w:rPr>
              <w:t>.</w:t>
            </w:r>
          </w:p>
          <w:p w14:paraId="7ECD4164" w14:textId="18AE0A88" w:rsidR="002C25DC" w:rsidRPr="00DC0B3F" w:rsidRDefault="00DC0B3F" w:rsidP="007F5475">
            <w:pPr>
              <w:pStyle w:val="Odstavecseseznamem"/>
              <w:numPr>
                <w:ilvl w:val="0"/>
                <w:numId w:val="15"/>
              </w:numPr>
            </w:pPr>
            <w:r>
              <w:rPr>
                <w:rFonts w:ascii="Calibri" w:hAnsi="Calibri" w:cs="Calibri"/>
              </w:rPr>
              <w:t>Zajistit garanci</w:t>
            </w:r>
            <w:r w:rsidRPr="00F911BA">
              <w:rPr>
                <w:rFonts w:ascii="Calibri" w:hAnsi="Calibri" w:cs="Calibri"/>
              </w:rPr>
              <w:t xml:space="preserve"> metodické podpory pro přípravu a realizaci programů a vytvoření principů</w:t>
            </w:r>
            <w:r>
              <w:rPr>
                <w:rFonts w:ascii="Calibri" w:hAnsi="Calibri" w:cs="Calibri"/>
              </w:rPr>
              <w:t>/zásad</w:t>
            </w:r>
            <w:r w:rsidRPr="00F911BA">
              <w:rPr>
                <w:rFonts w:ascii="Calibri" w:hAnsi="Calibri" w:cs="Calibri"/>
              </w:rPr>
              <w:t xml:space="preserve"> pro všechny fáze cyklu programů účelové podpory.</w:t>
            </w:r>
          </w:p>
          <w:p w14:paraId="7F00D1E5" w14:textId="76BA4248" w:rsidR="00DC0B3F" w:rsidRPr="00DC0B3F" w:rsidRDefault="00DC0B3F" w:rsidP="007F5475">
            <w:pPr>
              <w:pStyle w:val="Odstavecseseznamem"/>
              <w:numPr>
                <w:ilvl w:val="0"/>
                <w:numId w:val="15"/>
              </w:numPr>
            </w:pPr>
            <w:r>
              <w:rPr>
                <w:rFonts w:ascii="Calibri" w:hAnsi="Calibri" w:cs="Calibri"/>
              </w:rPr>
              <w:t>V</w:t>
            </w:r>
            <w:r w:rsidR="00B73B8E">
              <w:rPr>
                <w:rFonts w:ascii="Calibri" w:hAnsi="Calibri" w:cs="Calibri"/>
              </w:rPr>
              <w:t>ytvořit harmonizační a metodickou jednotku</w:t>
            </w:r>
            <w:r>
              <w:rPr>
                <w:rFonts w:ascii="Calibri" w:hAnsi="Calibri" w:cs="Calibri"/>
              </w:rPr>
              <w:t xml:space="preserve"> v rámci příslušného věcného útvaru ÚV-SVVI.</w:t>
            </w:r>
          </w:p>
          <w:p w14:paraId="2F0492E1" w14:textId="15EF0F2D" w:rsidR="00B73B8E" w:rsidRDefault="00DC0B3F" w:rsidP="007F5475">
            <w:pPr>
              <w:pStyle w:val="Odstavecseseznamem"/>
              <w:numPr>
                <w:ilvl w:val="0"/>
                <w:numId w:val="15"/>
              </w:numPr>
            </w:pPr>
            <w:r w:rsidRPr="00C5798B">
              <w:rPr>
                <w:rFonts w:ascii="Calibri" w:hAnsi="Calibri" w:cs="Calibri"/>
              </w:rPr>
              <w:t>Vytvořit společnou webovou prezentaci programů a</w:t>
            </w:r>
            <w:r w:rsidR="00804D9A">
              <w:rPr>
                <w:rFonts w:ascii="Calibri" w:hAnsi="Calibri" w:cs="Calibri"/>
              </w:rPr>
              <w:t> </w:t>
            </w:r>
            <w:r w:rsidRPr="00C5798B">
              <w:rPr>
                <w:rFonts w:ascii="Calibri" w:hAnsi="Calibri" w:cs="Calibri"/>
              </w:rPr>
              <w:t>veřejných soutěží.</w:t>
            </w:r>
          </w:p>
        </w:tc>
      </w:tr>
    </w:tbl>
    <w:p w14:paraId="0A8B0227" w14:textId="3CE5E5F9" w:rsidR="007F1794" w:rsidRDefault="007F1794" w:rsidP="00E16608"/>
    <w:p w14:paraId="61C0CF3C" w14:textId="332B38D1" w:rsidR="00797653" w:rsidRDefault="00797653">
      <w:r>
        <w:br w:type="page"/>
      </w:r>
    </w:p>
    <w:p w14:paraId="40661B5C" w14:textId="77777777" w:rsidR="006C418D" w:rsidRDefault="006C418D" w:rsidP="005B56E8"/>
    <w:p w14:paraId="3C3FDAC8" w14:textId="620DA454" w:rsidR="00FE5690" w:rsidRDefault="00FE5690" w:rsidP="008922B0">
      <w:pPr>
        <w:pStyle w:val="Nadpis1"/>
      </w:pPr>
      <w:bookmarkStart w:id="7" w:name="_Toc195184933"/>
      <w:r w:rsidRPr="004E4DD8">
        <w:t>Programy účelové podpory</w:t>
      </w:r>
      <w:bookmarkEnd w:id="7"/>
    </w:p>
    <w:p w14:paraId="7AFD8D78" w14:textId="61F342A9" w:rsidR="00BD2396" w:rsidRPr="00BD2396" w:rsidRDefault="00BD2396" w:rsidP="00BD2396"/>
    <w:p w14:paraId="4B23549B" w14:textId="227E7CB0" w:rsidR="00B65918" w:rsidRDefault="00E16608" w:rsidP="000F3604">
      <w:pPr>
        <w:pStyle w:val="Nadpis2"/>
      </w:pPr>
      <w:bookmarkStart w:id="8" w:name="_Toc195184934"/>
      <w:r>
        <w:t>Příprava a schválení programu účelové podpory</w:t>
      </w:r>
      <w:bookmarkEnd w:id="8"/>
      <w:r w:rsidR="00231191">
        <w:t xml:space="preserve"> </w:t>
      </w:r>
    </w:p>
    <w:p w14:paraId="0CD9CCB9" w14:textId="0397F8FF" w:rsidR="00A71BFA" w:rsidRPr="00B4788A" w:rsidRDefault="00A71BFA" w:rsidP="00A71BFA">
      <w:pPr>
        <w:jc w:val="both"/>
      </w:pPr>
      <w:r>
        <w:t>Oblasti přípravy a schválení programů</w:t>
      </w:r>
      <w:r w:rsidR="001A0959">
        <w:t xml:space="preserve"> účelové podpory se detailněji </w:t>
      </w:r>
      <w:r>
        <w:t>věnuje samostatný dokument,</w:t>
      </w:r>
      <w:r w:rsidR="003E1CEB">
        <w:t xml:space="preserve"> připravovaný ÚV-SVVI s názvem </w:t>
      </w:r>
      <w:r>
        <w:rPr>
          <w:b/>
          <w:bCs/>
        </w:rPr>
        <w:t>Zásady</w:t>
      </w:r>
      <w:r w:rsidRPr="00B4788A">
        <w:rPr>
          <w:b/>
          <w:bCs/>
        </w:rPr>
        <w:t xml:space="preserve"> přípravy a hodnocení programů účelové podpory výzkumu, vývoje a inovací a jejich dopadů </w:t>
      </w:r>
      <w:r>
        <w:rPr>
          <w:bCs/>
        </w:rPr>
        <w:t>(</w:t>
      </w:r>
      <w:r w:rsidR="00915153">
        <w:rPr>
          <w:bCs/>
        </w:rPr>
        <w:t xml:space="preserve">dále jen </w:t>
      </w:r>
      <w:r w:rsidR="00E93F0A">
        <w:rPr>
          <w:bCs/>
        </w:rPr>
        <w:t>„</w:t>
      </w:r>
      <w:r>
        <w:rPr>
          <w:bCs/>
        </w:rPr>
        <w:t>Zásady</w:t>
      </w:r>
      <w:r w:rsidR="00E93F0A">
        <w:rPr>
          <w:bCs/>
        </w:rPr>
        <w:t>“</w:t>
      </w:r>
      <w:r w:rsidRPr="00B4788A">
        <w:rPr>
          <w:bCs/>
        </w:rPr>
        <w:t xml:space="preserve">). </w:t>
      </w:r>
    </w:p>
    <w:p w14:paraId="202004BD" w14:textId="20501AFD" w:rsidR="00B764E8" w:rsidRDefault="00A71BFA" w:rsidP="00C77F9F">
      <w:pPr>
        <w:jc w:val="both"/>
      </w:pPr>
      <w:r w:rsidRPr="005F20F5">
        <w:t xml:space="preserve">Potřebnost vzniku </w:t>
      </w:r>
      <w:r>
        <w:t xml:space="preserve">Zásad </w:t>
      </w:r>
      <w:r w:rsidRPr="005F20F5">
        <w:t xml:space="preserve">jako </w:t>
      </w:r>
      <w:r w:rsidR="00B453DC">
        <w:t>samostatného</w:t>
      </w:r>
      <w:r w:rsidRPr="005F20F5">
        <w:t xml:space="preserve"> dokumentu vzešla z průběhu jednání platformy</w:t>
      </w:r>
      <w:r>
        <w:t xml:space="preserve"> pro přípravu MP</w:t>
      </w:r>
      <w:r w:rsidRPr="005F20F5">
        <w:t>, a to s ohledem na požadavek existence dokumentu s vyšší mírou závaznosti</w:t>
      </w:r>
      <w:r>
        <w:t xml:space="preserve"> než MP</w:t>
      </w:r>
      <w:r w:rsidRPr="005F20F5">
        <w:t xml:space="preserve">, přičemž </w:t>
      </w:r>
      <w:r>
        <w:t>Zásady</w:t>
      </w:r>
      <w:r w:rsidRPr="005F20F5">
        <w:t xml:space="preserve"> budou přijaty na úrovni vlády ČR. </w:t>
      </w:r>
      <w:r w:rsidRPr="00286015">
        <w:rPr>
          <w:b/>
          <w:bCs/>
        </w:rPr>
        <w:t xml:space="preserve">Přijetím </w:t>
      </w:r>
      <w:r w:rsidR="00B764E8" w:rsidRPr="00286015">
        <w:rPr>
          <w:b/>
          <w:bCs/>
        </w:rPr>
        <w:t>Zásad</w:t>
      </w:r>
      <w:r w:rsidRPr="00286015">
        <w:rPr>
          <w:b/>
          <w:bCs/>
        </w:rPr>
        <w:t xml:space="preserve"> pak dojde </w:t>
      </w:r>
      <w:r w:rsidR="00B764E8" w:rsidRPr="00286015">
        <w:rPr>
          <w:b/>
          <w:bCs/>
        </w:rPr>
        <w:t xml:space="preserve">i </w:t>
      </w:r>
      <w:r w:rsidRPr="00286015">
        <w:rPr>
          <w:b/>
          <w:bCs/>
        </w:rPr>
        <w:t>k naplnění několika opatření, která byla identifikována v průběhu jednání platformy</w:t>
      </w:r>
      <w:r w:rsidR="00B764E8" w:rsidRPr="00286015">
        <w:rPr>
          <w:b/>
          <w:bCs/>
        </w:rPr>
        <w:t xml:space="preserve"> pro přípravu MP</w:t>
      </w:r>
      <w:r>
        <w:t>.</w:t>
      </w:r>
    </w:p>
    <w:p w14:paraId="6EF98DB2" w14:textId="3C98E4DB" w:rsidR="00A71BFA" w:rsidRDefault="00A71BFA" w:rsidP="001A0959">
      <w:pPr>
        <w:jc w:val="both"/>
      </w:pPr>
      <w:r w:rsidRPr="003A6EE0">
        <w:t xml:space="preserve">Cílem </w:t>
      </w:r>
      <w:r>
        <w:t>Zásad</w:t>
      </w:r>
      <w:r w:rsidRPr="003A6EE0">
        <w:t xml:space="preserve"> je nastavit jednotný proces </w:t>
      </w:r>
      <w:r w:rsidR="0020216A">
        <w:t xml:space="preserve">přípravy a </w:t>
      </w:r>
      <w:r w:rsidRPr="003A6EE0">
        <w:t>schvalování programů účelové podpory a skupin grantových projektů, poskytnout metodický rámec pro přípravu návrhů programů a skupin grantových projektů, monitorování a evaluaci realizovaných programů</w:t>
      </w:r>
      <w:r>
        <w:t xml:space="preserve"> a </w:t>
      </w:r>
      <w:r w:rsidRPr="003A6EE0">
        <w:t>skupin grantových projektů</w:t>
      </w:r>
      <w:r w:rsidR="009C4669">
        <w:t>, včetně hodnocení dopadů</w:t>
      </w:r>
      <w:r>
        <w:t>.</w:t>
      </w:r>
    </w:p>
    <w:p w14:paraId="229F054D" w14:textId="7046ADAA" w:rsidR="00BD2396" w:rsidRDefault="00BD2396" w:rsidP="009955D6">
      <w:pPr>
        <w:jc w:val="both"/>
      </w:pPr>
    </w:p>
    <w:p w14:paraId="520779F7" w14:textId="36902525" w:rsidR="00D675D3" w:rsidRPr="00804D9A" w:rsidRDefault="00C36E51" w:rsidP="008B4031">
      <w:pPr>
        <w:jc w:val="both"/>
        <w:rPr>
          <w:b/>
        </w:rPr>
      </w:pPr>
      <w:r w:rsidRPr="00804D9A">
        <w:rPr>
          <w:b/>
        </w:rPr>
        <w:t xml:space="preserve">Vzájemné vazby </w:t>
      </w:r>
      <w:r w:rsidR="008B4031" w:rsidRPr="00804D9A">
        <w:rPr>
          <w:b/>
        </w:rPr>
        <w:t xml:space="preserve">mezi dokumenty </w:t>
      </w:r>
      <w:r w:rsidR="00CB2C48" w:rsidRPr="00804D9A">
        <w:rPr>
          <w:b/>
        </w:rPr>
        <w:t xml:space="preserve">v oblasti metodického prostředí </w:t>
      </w:r>
      <w:r w:rsidR="00695335" w:rsidRPr="00804D9A">
        <w:rPr>
          <w:b/>
        </w:rPr>
        <w:t xml:space="preserve">pro poskytování účelové podpory </w:t>
      </w:r>
    </w:p>
    <w:p w14:paraId="317E2BF1" w14:textId="4721E933" w:rsidR="003B7208" w:rsidRDefault="00FF2492" w:rsidP="00E16608">
      <w:pPr>
        <w:rPr>
          <w:highlight w:val="cyan"/>
        </w:rPr>
      </w:pPr>
      <w:r w:rsidRPr="00FF2492">
        <w:rPr>
          <w:noProof/>
          <w:lang w:eastAsia="cs-CZ"/>
        </w:rPr>
        <w:drawing>
          <wp:inline distT="0" distB="0" distL="0" distR="0" wp14:anchorId="7AFC1DAB" wp14:editId="49F4E42D">
            <wp:extent cx="5760720" cy="323977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39770"/>
                    </a:xfrm>
                    <a:prstGeom prst="rect">
                      <a:avLst/>
                    </a:prstGeom>
                  </pic:spPr>
                </pic:pic>
              </a:graphicData>
            </a:graphic>
          </wp:inline>
        </w:drawing>
      </w:r>
    </w:p>
    <w:p w14:paraId="21592D2E" w14:textId="28346107" w:rsidR="006C418D" w:rsidRDefault="006C418D">
      <w:pPr>
        <w:rPr>
          <w:highlight w:val="cyan"/>
        </w:rPr>
      </w:pPr>
      <w:r>
        <w:rPr>
          <w:highlight w:val="cyan"/>
        </w:rPr>
        <w:br w:type="page"/>
      </w:r>
    </w:p>
    <w:p w14:paraId="57272A10" w14:textId="5E743E05" w:rsidR="001A0959" w:rsidRPr="003A6EE0" w:rsidRDefault="001A0959" w:rsidP="001A0959">
      <w:pPr>
        <w:jc w:val="both"/>
      </w:pPr>
      <w:r w:rsidRPr="003A6EE0">
        <w:lastRenderedPageBreak/>
        <w:t xml:space="preserve">Příprava programů účelové podpory </w:t>
      </w:r>
      <w:r w:rsidR="008D0BE1">
        <w:t>VVI</w:t>
      </w:r>
      <w:r w:rsidRPr="003A6EE0">
        <w:t xml:space="preserve"> a skupin grantových projektů je plně v kompetenci příslušného poskytovatele účelové podpory </w:t>
      </w:r>
      <w:r w:rsidR="008D0BE1">
        <w:t>VVI</w:t>
      </w:r>
      <w:r w:rsidRPr="003A6EE0">
        <w:t xml:space="preserve">. V případě programů v odborné gesci jednotlivých resortů, u nichž úlohu poskytovatele plní </w:t>
      </w:r>
      <w:r>
        <w:t>Technologická agentura ČR (dále jen „</w:t>
      </w:r>
      <w:r w:rsidRPr="003A6EE0">
        <w:t>TA ČR</w:t>
      </w:r>
      <w:r>
        <w:t>“), je příprava návrhu programu v </w:t>
      </w:r>
      <w:r w:rsidRPr="003A6EE0">
        <w:t>kompetenci příslušného resortu</w:t>
      </w:r>
      <w:r>
        <w:t xml:space="preserve"> ve spolupráci s TA ČR</w:t>
      </w:r>
      <w:r w:rsidRPr="003A6EE0">
        <w:t>.</w:t>
      </w:r>
    </w:p>
    <w:p w14:paraId="242D0A35" w14:textId="3E2BF80C" w:rsidR="00B4788A" w:rsidRPr="00B4788A" w:rsidRDefault="00B4788A" w:rsidP="00C77F9F">
      <w:pPr>
        <w:jc w:val="both"/>
      </w:pPr>
      <w:r w:rsidRPr="00B4788A">
        <w:t xml:space="preserve">Struktura a obsah návrhu programu se liší v závislosti na jejich způsobu </w:t>
      </w:r>
      <w:r w:rsidR="00755352">
        <w:t xml:space="preserve">realizace a zaměření. Současně </w:t>
      </w:r>
      <w:r w:rsidRPr="00B4788A">
        <w:t>ale musí i respektovat specifickou strukturu návrhu programů veřejných soutěží, veřejných zakázek a</w:t>
      </w:r>
      <w:r w:rsidR="00F101A3">
        <w:t> </w:t>
      </w:r>
      <w:r w:rsidRPr="00B4788A">
        <w:t>skupin grantových projektů.</w:t>
      </w:r>
    </w:p>
    <w:p w14:paraId="7A7908A4" w14:textId="7D9E2186" w:rsidR="00F378A5" w:rsidRPr="003A6EE0" w:rsidRDefault="00F378A5" w:rsidP="00F378A5">
      <w:pPr>
        <w:jc w:val="both"/>
        <w:rPr>
          <w:bCs/>
        </w:rPr>
      </w:pPr>
      <w:r w:rsidRPr="003A6EE0">
        <w:rPr>
          <w:bCs/>
        </w:rPr>
        <w:t xml:space="preserve">Při </w:t>
      </w:r>
      <w:r w:rsidR="00463148">
        <w:rPr>
          <w:bCs/>
        </w:rPr>
        <w:t>předkládání</w:t>
      </w:r>
      <w:r w:rsidR="00463148" w:rsidRPr="003A6EE0">
        <w:rPr>
          <w:bCs/>
        </w:rPr>
        <w:t xml:space="preserve"> </w:t>
      </w:r>
      <w:r w:rsidRPr="003A6EE0">
        <w:rPr>
          <w:bCs/>
        </w:rPr>
        <w:t xml:space="preserve">návrhu programu/skupiny grantových projektů </w:t>
      </w:r>
      <w:r w:rsidR="00463148">
        <w:rPr>
          <w:bCs/>
        </w:rPr>
        <w:t xml:space="preserve">ke stanovisku RVVI a schválení vládě </w:t>
      </w:r>
      <w:r w:rsidRPr="003A6EE0">
        <w:rPr>
          <w:bCs/>
        </w:rPr>
        <w:t xml:space="preserve">musí poskytovatel zohlednit </w:t>
      </w:r>
      <w:r>
        <w:rPr>
          <w:bCs/>
        </w:rPr>
        <w:t xml:space="preserve">zejména harmonogram přípravy státního rozpočtu a současně reflektovat </w:t>
      </w:r>
      <w:r w:rsidRPr="003A6EE0">
        <w:rPr>
          <w:bCs/>
        </w:rPr>
        <w:t>délku trvání procesu posuzování návrhu programu/skupiny grantových projektů věcně příslušným útvarem ÚV</w:t>
      </w:r>
      <w:r w:rsidR="00463148">
        <w:rPr>
          <w:bCs/>
        </w:rPr>
        <w:t>-SVVI</w:t>
      </w:r>
      <w:r w:rsidRPr="003A6EE0">
        <w:rPr>
          <w:bCs/>
        </w:rPr>
        <w:t xml:space="preserve">, KHV a RVVI. </w:t>
      </w:r>
    </w:p>
    <w:p w14:paraId="5518382F" w14:textId="37D7AFF6" w:rsidR="00F378A5" w:rsidRPr="003A6EE0" w:rsidRDefault="00F378A5" w:rsidP="00F378A5">
      <w:pPr>
        <w:jc w:val="both"/>
      </w:pPr>
      <w:r w:rsidRPr="003A6EE0">
        <w:t>Nejzazší</w:t>
      </w:r>
      <w:r>
        <w:t xml:space="preserve"> doporučený</w:t>
      </w:r>
      <w:r w:rsidRPr="003A6EE0">
        <w:t xml:space="preserve"> termín pro zaslání návrhu programu/skupiny grantových projektů poskytovatelem ke stanovisku RVVI je tak listopad roku X-2, aby bylo možno řádně do</w:t>
      </w:r>
      <w:r>
        <w:t>držet všechny lhůty a procesy a </w:t>
      </w:r>
      <w:r w:rsidRPr="003A6EE0">
        <w:t>zahájit financování v rámci daného programu/skupiny grantových projektů v roce X (v jakémkoli měsíci roku X)</w:t>
      </w:r>
      <w:r w:rsidR="00C614F2">
        <w:t xml:space="preserve"> – </w:t>
      </w:r>
      <w:r>
        <w:t xml:space="preserve">viz Příloha </w:t>
      </w:r>
      <w:r w:rsidR="002469A1">
        <w:t>9</w:t>
      </w:r>
      <w:r>
        <w:t>.</w:t>
      </w:r>
      <w:r w:rsidR="002469A1">
        <w:t>3</w:t>
      </w:r>
      <w:r w:rsidRPr="003A6EE0">
        <w:t>.</w:t>
      </w:r>
    </w:p>
    <w:p w14:paraId="76AB39F4" w14:textId="77777777" w:rsidR="00922281" w:rsidRPr="001F41F4" w:rsidRDefault="00922281" w:rsidP="00E16608">
      <w:pPr>
        <w:rPr>
          <w:highlight w:val="cyan"/>
        </w:rPr>
      </w:pPr>
    </w:p>
    <w:p w14:paraId="65A09DC3" w14:textId="5F052554" w:rsidR="00D22B33" w:rsidRPr="00D22B33" w:rsidRDefault="00E16608" w:rsidP="00D22B33">
      <w:pPr>
        <w:pStyle w:val="Nadpis2"/>
      </w:pPr>
      <w:bookmarkStart w:id="9" w:name="_Toc195184935"/>
      <w:r w:rsidRPr="00335786">
        <w:t>Monitorování a evaluace</w:t>
      </w:r>
      <w:r w:rsidR="00107D19">
        <w:t xml:space="preserve"> (ex-ante hodnocení)</w:t>
      </w:r>
      <w:r w:rsidRPr="00335786">
        <w:t xml:space="preserve"> program</w:t>
      </w:r>
      <w:r w:rsidR="00D22B33">
        <w:t>ů</w:t>
      </w:r>
      <w:bookmarkEnd w:id="9"/>
    </w:p>
    <w:p w14:paraId="6AFBF377" w14:textId="77777777" w:rsidR="00C614F2" w:rsidRDefault="00C614F2" w:rsidP="00C77F9F">
      <w:pPr>
        <w:jc w:val="both"/>
      </w:pPr>
    </w:p>
    <w:p w14:paraId="57EFB301" w14:textId="525D93CD" w:rsidR="00FC3D19" w:rsidRPr="00FC3D19" w:rsidRDefault="00FC3D19" w:rsidP="00C77F9F">
      <w:pPr>
        <w:jc w:val="both"/>
      </w:pPr>
      <w:r w:rsidRPr="00FC3D19">
        <w:t xml:space="preserve">Každý program účelové podpory je </w:t>
      </w:r>
      <w:r w:rsidRPr="00FC3D19">
        <w:rPr>
          <w:b/>
        </w:rPr>
        <w:t xml:space="preserve">evaluován </w:t>
      </w:r>
      <w:r w:rsidRPr="00FC3D19">
        <w:t>před jeho zahájením</w:t>
      </w:r>
      <w:r w:rsidR="00B77C5B">
        <w:t>, respektive při jeho přípravě</w:t>
      </w:r>
      <w:r w:rsidRPr="00FC3D19">
        <w:t xml:space="preserve"> (</w:t>
      </w:r>
      <w:r w:rsidRPr="00107D19">
        <w:rPr>
          <w:b/>
        </w:rPr>
        <w:t>ex-ante hodnocení</w:t>
      </w:r>
      <w:r w:rsidRPr="00FC3D19">
        <w:t xml:space="preserve">), v průběhu jeho realizace (průběžné hodnocení), bezprostředně po jeho ukončení (hodnocení ukončeného programu, závěrečná evaluace) a po 3-5 letech po jeho ukončení (dopadová evaluace). Průběh programu je kontinuálně monitorován. </w:t>
      </w:r>
    </w:p>
    <w:p w14:paraId="21B30A34" w14:textId="035E2CF2" w:rsidR="00FC3D19" w:rsidDel="00B53FC3" w:rsidRDefault="00FC3D19" w:rsidP="00C77F9F">
      <w:pPr>
        <w:jc w:val="both"/>
      </w:pPr>
      <w:r w:rsidRPr="00FC3D19" w:rsidDel="00B53FC3">
        <w:t>Pro monitorování a evaluaci programů/skupin grantových projektů poskytovatel navrhne vhodné indikátory.</w:t>
      </w:r>
    </w:p>
    <w:p w14:paraId="5A2C2ACF" w14:textId="065F9B12" w:rsidR="00D22B33" w:rsidRPr="00D631FB" w:rsidRDefault="00107D19" w:rsidP="00D631FB">
      <w:pPr>
        <w:jc w:val="both"/>
        <w:rPr>
          <w:rStyle w:val="normaltextrun"/>
        </w:rPr>
      </w:pPr>
      <w:r>
        <w:rPr>
          <w:b/>
        </w:rPr>
        <w:t>Cílem e</w:t>
      </w:r>
      <w:r w:rsidRPr="00107D19">
        <w:rPr>
          <w:b/>
        </w:rPr>
        <w:t>x-ante hodnocení</w:t>
      </w:r>
      <w:r>
        <w:rPr>
          <w:b/>
        </w:rPr>
        <w:t xml:space="preserve"> </w:t>
      </w:r>
      <w:r w:rsidRPr="003A6EE0">
        <w:t>je posoudit</w:t>
      </w:r>
      <w:r>
        <w:t xml:space="preserve"> z</w:t>
      </w:r>
      <w:r w:rsidRPr="003A6EE0">
        <w:t>aměření programu/skupiny grantových projektů ve vztah</w:t>
      </w:r>
      <w:r>
        <w:t xml:space="preserve">u k identifikovaným problémům, </w:t>
      </w:r>
      <w:r w:rsidRPr="003A6EE0">
        <w:t>výzvám a jeho cílům, podporovaným či</w:t>
      </w:r>
      <w:r>
        <w:t>nnostem, finanční alokaci a</w:t>
      </w:r>
      <w:r w:rsidR="00804D9A">
        <w:t> </w:t>
      </w:r>
      <w:r>
        <w:t>procesu implementace</w:t>
      </w:r>
      <w:r w:rsidRPr="003A6EE0">
        <w:t xml:space="preserve">. </w:t>
      </w:r>
      <w:r>
        <w:t>Posuzuje</w:t>
      </w:r>
      <w:r w:rsidRPr="003A6EE0">
        <w:t xml:space="preserve"> vnitřní logiku</w:t>
      </w:r>
      <w:r>
        <w:t xml:space="preserve"> </w:t>
      </w:r>
      <w:r w:rsidRPr="00107D19">
        <w:t>programu/skupiny grantových projektů</w:t>
      </w:r>
      <w:r w:rsidRPr="003A6EE0">
        <w:t>, schopnost splnit cíle s využitím daných vstupů a stanovený</w:t>
      </w:r>
      <w:r w:rsidR="00F101A3">
        <w:t>ch</w:t>
      </w:r>
      <w:r w:rsidRPr="003A6EE0">
        <w:t xml:space="preserve"> parametr</w:t>
      </w:r>
      <w:r w:rsidR="00F101A3">
        <w:t>ů</w:t>
      </w:r>
      <w:r w:rsidRPr="003A6EE0">
        <w:t xml:space="preserve"> programu/skupiny grantových projektů.</w:t>
      </w:r>
    </w:p>
    <w:p w14:paraId="65E0FE78" w14:textId="6A6E4D39" w:rsidR="00E419BF" w:rsidRPr="003A6EE0" w:rsidRDefault="00E419BF" w:rsidP="00C77F9F">
      <w:pPr>
        <w:pStyle w:val="paragraph"/>
        <w:spacing w:before="0" w:beforeAutospacing="0" w:after="120" w:afterAutospacing="0"/>
        <w:jc w:val="both"/>
        <w:textAlignment w:val="baseline"/>
        <w:rPr>
          <w:rStyle w:val="normaltextrun"/>
          <w:rFonts w:asciiTheme="minorHAnsi" w:eastAsiaTheme="majorEastAsia" w:hAnsiTheme="minorHAnsi" w:cs="Calibri"/>
          <w:sz w:val="22"/>
          <w:szCs w:val="22"/>
        </w:rPr>
      </w:pPr>
      <w:r w:rsidRPr="003A6EE0">
        <w:rPr>
          <w:rStyle w:val="normaltextrun"/>
          <w:rFonts w:asciiTheme="minorHAnsi" w:eastAsiaTheme="majorEastAsia" w:hAnsiTheme="minorHAnsi" w:cs="Calibri"/>
          <w:sz w:val="22"/>
          <w:szCs w:val="22"/>
        </w:rPr>
        <w:t>Ex-ante hodnocení sleduje tyto oblast</w:t>
      </w:r>
      <w:r w:rsidR="0077493A">
        <w:rPr>
          <w:rStyle w:val="normaltextrun"/>
          <w:rFonts w:asciiTheme="minorHAnsi" w:eastAsiaTheme="majorEastAsia" w:hAnsiTheme="minorHAnsi" w:cs="Calibri"/>
          <w:sz w:val="22"/>
          <w:szCs w:val="22"/>
        </w:rPr>
        <w:t>i</w:t>
      </w:r>
      <w:r w:rsidRPr="003A6EE0">
        <w:rPr>
          <w:rStyle w:val="normaltextrun"/>
          <w:rFonts w:asciiTheme="minorHAnsi" w:eastAsiaTheme="majorEastAsia" w:hAnsiTheme="minorHAnsi" w:cs="Calibri"/>
          <w:sz w:val="22"/>
          <w:szCs w:val="22"/>
        </w:rPr>
        <w:t>:</w:t>
      </w:r>
    </w:p>
    <w:p w14:paraId="038F2A0C"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Zaměření a cíle programu/skupiny grantových projektů a jejich relevance k národním prioritám, strategiím a koncepcím;</w:t>
      </w:r>
    </w:p>
    <w:p w14:paraId="7420A58F"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Intervenční logika programu/skupiny grantových projektů;</w:t>
      </w:r>
    </w:p>
    <w:p w14:paraId="13A11D05"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Výstupy, výsledky a dopady programu/skupiny grantových projektů;</w:t>
      </w:r>
    </w:p>
    <w:p w14:paraId="26443311"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Výdaje programu/skupiny grantových projektů;</w:t>
      </w:r>
    </w:p>
    <w:p w14:paraId="2103590F"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Aktivity programu/skupiny grantových projektů a příjemci podpory;</w:t>
      </w:r>
    </w:p>
    <w:p w14:paraId="0F703226"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Způsob realizace;</w:t>
      </w:r>
    </w:p>
    <w:p w14:paraId="6E83464A"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Hodnocení a výběr projektů;</w:t>
      </w:r>
    </w:p>
    <w:p w14:paraId="4BED2487"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Monitorování programu/skupiny grantových projektů a jeho evaluace;</w:t>
      </w:r>
    </w:p>
    <w:p w14:paraId="38DC949B" w14:textId="77777777" w:rsidR="00E419BF" w:rsidRPr="00743BE4" w:rsidRDefault="00E419BF" w:rsidP="007F5475">
      <w:pPr>
        <w:pStyle w:val="paragraph"/>
        <w:numPr>
          <w:ilvl w:val="0"/>
          <w:numId w:val="10"/>
        </w:numPr>
        <w:spacing w:before="0" w:beforeAutospacing="0" w:after="0" w:afterAutospacing="0"/>
        <w:jc w:val="both"/>
        <w:textAlignment w:val="baseline"/>
        <w:rPr>
          <w:rStyle w:val="normaltextrun"/>
          <w:rFonts w:asciiTheme="minorHAnsi" w:eastAsiaTheme="majorEastAsia" w:hAnsiTheme="minorHAnsi" w:cs="Calibri"/>
          <w:sz w:val="22"/>
          <w:szCs w:val="22"/>
        </w:rPr>
      </w:pPr>
      <w:r w:rsidRPr="00743BE4">
        <w:rPr>
          <w:rStyle w:val="normaltextrun"/>
          <w:rFonts w:asciiTheme="minorHAnsi" w:eastAsiaTheme="majorEastAsia" w:hAnsiTheme="minorHAnsi" w:cs="Calibri"/>
          <w:sz w:val="22"/>
          <w:szCs w:val="22"/>
        </w:rPr>
        <w:t>Vymezení rizik.</w:t>
      </w:r>
    </w:p>
    <w:p w14:paraId="4EAA4DE8" w14:textId="1B1797A1" w:rsidR="006C418D" w:rsidRDefault="006C418D">
      <w:pPr>
        <w:rPr>
          <w:rStyle w:val="normaltextrun"/>
          <w:rFonts w:eastAsiaTheme="majorEastAsia" w:cs="Calibri"/>
          <w:lang w:eastAsia="cs-CZ"/>
        </w:rPr>
      </w:pPr>
      <w:r>
        <w:rPr>
          <w:rStyle w:val="normaltextrun"/>
          <w:rFonts w:eastAsiaTheme="majorEastAsia" w:cs="Calibri"/>
        </w:rPr>
        <w:br w:type="page"/>
      </w:r>
    </w:p>
    <w:p w14:paraId="7320C058" w14:textId="77777777" w:rsidR="002F31C3" w:rsidRPr="00743BE4" w:rsidRDefault="002F31C3" w:rsidP="00C77F9F">
      <w:pPr>
        <w:pStyle w:val="paragraph"/>
        <w:spacing w:before="0" w:beforeAutospacing="0" w:after="0" w:afterAutospacing="0"/>
        <w:jc w:val="both"/>
        <w:textAlignment w:val="baseline"/>
        <w:rPr>
          <w:rStyle w:val="normaltextrun"/>
          <w:rFonts w:asciiTheme="minorHAnsi" w:eastAsiaTheme="majorEastAsia" w:hAnsiTheme="minorHAnsi" w:cs="Calibri"/>
          <w:sz w:val="22"/>
          <w:szCs w:val="22"/>
        </w:rPr>
      </w:pPr>
    </w:p>
    <w:p w14:paraId="629A7C20" w14:textId="1E7A369D" w:rsidR="0046358D" w:rsidRDefault="0046358D" w:rsidP="00C77F9F">
      <w:pPr>
        <w:jc w:val="both"/>
        <w:rPr>
          <w:rFonts w:ascii="Calibri" w:hAnsi="Calibri" w:cs="Calibri"/>
        </w:rPr>
      </w:pPr>
      <w:r>
        <w:rPr>
          <w:rFonts w:ascii="Calibri" w:hAnsi="Calibri" w:cs="Calibri"/>
        </w:rPr>
        <w:t>Pro zajištění dostupnost</w:t>
      </w:r>
      <w:r w:rsidR="007757B8">
        <w:rPr>
          <w:rFonts w:ascii="Calibri" w:hAnsi="Calibri" w:cs="Calibri"/>
        </w:rPr>
        <w:t>i evaluačních z</w:t>
      </w:r>
      <w:r>
        <w:rPr>
          <w:rFonts w:ascii="Calibri" w:hAnsi="Calibri" w:cs="Calibri"/>
        </w:rPr>
        <w:t>práv je</w:t>
      </w:r>
      <w:r w:rsidR="007757B8">
        <w:rPr>
          <w:rFonts w:ascii="Calibri" w:hAnsi="Calibri" w:cs="Calibri"/>
        </w:rPr>
        <w:t xml:space="preserve"> jako jedno z návazných </w:t>
      </w:r>
      <w:r w:rsidR="00AC76E8">
        <w:rPr>
          <w:rFonts w:ascii="Calibri" w:hAnsi="Calibri" w:cs="Calibri"/>
        </w:rPr>
        <w:t xml:space="preserve">opatření </w:t>
      </w:r>
      <w:r w:rsidR="00F70A60">
        <w:rPr>
          <w:rFonts w:ascii="Calibri" w:hAnsi="Calibri" w:cs="Calibri"/>
        </w:rPr>
        <w:t xml:space="preserve">doporučeno vytvořit jejich </w:t>
      </w:r>
      <w:r w:rsidR="008403CD">
        <w:rPr>
          <w:rFonts w:ascii="Calibri" w:hAnsi="Calibri" w:cs="Calibri"/>
        </w:rPr>
        <w:t xml:space="preserve">veřejně přístupný </w:t>
      </w:r>
      <w:r w:rsidR="00A967D3">
        <w:rPr>
          <w:rFonts w:ascii="Calibri" w:hAnsi="Calibri" w:cs="Calibri"/>
        </w:rPr>
        <w:t xml:space="preserve">centrální </w:t>
      </w:r>
      <w:proofErr w:type="spellStart"/>
      <w:r>
        <w:rPr>
          <w:rFonts w:ascii="Calibri" w:hAnsi="Calibri" w:cs="Calibri"/>
        </w:rPr>
        <w:t>repozitář</w:t>
      </w:r>
      <w:proofErr w:type="spellEnd"/>
      <w:r w:rsidRPr="00C5798B">
        <w:rPr>
          <w:rFonts w:ascii="Calibri" w:hAnsi="Calibri" w:cs="Calibri"/>
        </w:rPr>
        <w:t>, který bude obsahovat zprávy z jednotlivých druhů evaluací programů všech poskytovatelů.</w:t>
      </w:r>
    </w:p>
    <w:p w14:paraId="478760DF" w14:textId="5091981F" w:rsidR="00AC76E8" w:rsidRDefault="00FC3D19" w:rsidP="00C77F9F">
      <w:pPr>
        <w:jc w:val="both"/>
      </w:pPr>
      <w:r w:rsidRPr="00FC3D19">
        <w:t xml:space="preserve">Níže jsou uvedeny </w:t>
      </w:r>
      <w:r w:rsidRPr="00FC3D19">
        <w:rPr>
          <w:b/>
        </w:rPr>
        <w:t>příklady indikátorů</w:t>
      </w:r>
      <w:r w:rsidRPr="00FC3D19">
        <w:t xml:space="preserve"> pro úrovně vstupů, výstupů, výsledků a dopadů, včetně indikátorů pro hodnoc</w:t>
      </w:r>
      <w:r>
        <w:t xml:space="preserve">ení splnění cílů na operativní </w:t>
      </w:r>
      <w:r w:rsidRPr="00FC3D19">
        <w:t>úrovni. Uvedené indikátory nepředstavují závazný seznam indikátorů. Jsou uvedeny pouze jako příklady, které mohou poskytovatele inspirovat při tvorbě vhodných indikátorů, nelze je považovat za závazné i</w:t>
      </w:r>
      <w:r w:rsidR="00755352">
        <w:t>ndikátory pro všechny programy.</w:t>
      </w:r>
    </w:p>
    <w:p w14:paraId="7AF9AD12" w14:textId="77777777" w:rsidR="00F8536C" w:rsidRDefault="00F8536C" w:rsidP="00C77F9F">
      <w:pPr>
        <w:jc w:val="both"/>
      </w:pPr>
    </w:p>
    <w:p w14:paraId="1182E7D4" w14:textId="0FB13ACC" w:rsidR="00D0398D" w:rsidRPr="008B4031" w:rsidRDefault="00D0398D" w:rsidP="00D0398D">
      <w:pPr>
        <w:pStyle w:val="Titulek"/>
        <w:keepNext/>
        <w:rPr>
          <w:b/>
          <w:i w:val="0"/>
          <w:color w:val="auto"/>
          <w:sz w:val="26"/>
          <w:szCs w:val="26"/>
        </w:rPr>
      </w:pPr>
      <w:r w:rsidRPr="008B4031">
        <w:rPr>
          <w:b/>
          <w:i w:val="0"/>
          <w:color w:val="auto"/>
          <w:sz w:val="26"/>
          <w:szCs w:val="26"/>
        </w:rPr>
        <w:t xml:space="preserve">Tabulka </w:t>
      </w:r>
      <w:r w:rsidR="00AC76E8" w:rsidRPr="008B4031">
        <w:rPr>
          <w:b/>
          <w:i w:val="0"/>
          <w:color w:val="auto"/>
          <w:sz w:val="26"/>
          <w:szCs w:val="26"/>
        </w:rPr>
        <w:t>1</w:t>
      </w:r>
      <w:r w:rsidRPr="008B4031">
        <w:rPr>
          <w:b/>
          <w:i w:val="0"/>
          <w:color w:val="auto"/>
          <w:sz w:val="26"/>
          <w:szCs w:val="26"/>
        </w:rPr>
        <w:t xml:space="preserve"> - Příklady indikátorů pro hodnocení splnění cílů na operativní úrovni</w:t>
      </w:r>
    </w:p>
    <w:tbl>
      <w:tblPr>
        <w:tblStyle w:val="Mkatabulky"/>
        <w:tblW w:w="0" w:type="auto"/>
        <w:tblLook w:val="04A0" w:firstRow="1" w:lastRow="0" w:firstColumn="1" w:lastColumn="0" w:noHBand="0" w:noVBand="1"/>
      </w:tblPr>
      <w:tblGrid>
        <w:gridCol w:w="1129"/>
        <w:gridCol w:w="3402"/>
        <w:gridCol w:w="2084"/>
        <w:gridCol w:w="2244"/>
      </w:tblGrid>
      <w:tr w:rsidR="00D0398D" w14:paraId="3DC61AF9" w14:textId="77777777" w:rsidTr="00D0398D">
        <w:tc>
          <w:tcPr>
            <w:tcW w:w="1129" w:type="dxa"/>
          </w:tcPr>
          <w:p w14:paraId="66047399" w14:textId="77777777" w:rsidR="00D0398D" w:rsidRPr="008B4031" w:rsidRDefault="00D0398D" w:rsidP="00D0398D">
            <w:pPr>
              <w:rPr>
                <w:b/>
                <w:bCs/>
              </w:rPr>
            </w:pPr>
            <w:r w:rsidRPr="008B4031">
              <w:rPr>
                <w:b/>
                <w:bCs/>
              </w:rPr>
              <w:t>Úroveň</w:t>
            </w:r>
          </w:p>
        </w:tc>
        <w:tc>
          <w:tcPr>
            <w:tcW w:w="3402" w:type="dxa"/>
          </w:tcPr>
          <w:p w14:paraId="53D3AEA4" w14:textId="77777777" w:rsidR="00D0398D" w:rsidRPr="008B4031" w:rsidRDefault="00D0398D" w:rsidP="00D0398D">
            <w:pPr>
              <w:rPr>
                <w:b/>
                <w:bCs/>
              </w:rPr>
            </w:pPr>
            <w:r w:rsidRPr="008B4031">
              <w:rPr>
                <w:b/>
                <w:bCs/>
              </w:rPr>
              <w:t>Indikátor</w:t>
            </w:r>
          </w:p>
        </w:tc>
        <w:tc>
          <w:tcPr>
            <w:tcW w:w="2084" w:type="dxa"/>
          </w:tcPr>
          <w:p w14:paraId="7ADF9F4B" w14:textId="77777777" w:rsidR="00D0398D" w:rsidRPr="008B4031" w:rsidRDefault="00D0398D" w:rsidP="00D0398D">
            <w:pPr>
              <w:rPr>
                <w:b/>
                <w:bCs/>
              </w:rPr>
            </w:pPr>
            <w:r w:rsidRPr="008B4031">
              <w:rPr>
                <w:b/>
                <w:bCs/>
              </w:rPr>
              <w:t>Jednotka</w:t>
            </w:r>
          </w:p>
        </w:tc>
        <w:tc>
          <w:tcPr>
            <w:tcW w:w="2244" w:type="dxa"/>
          </w:tcPr>
          <w:p w14:paraId="6FEEF8A7" w14:textId="77777777" w:rsidR="00D0398D" w:rsidRPr="008B4031" w:rsidRDefault="00D0398D" w:rsidP="00D0398D">
            <w:pPr>
              <w:rPr>
                <w:b/>
                <w:bCs/>
              </w:rPr>
            </w:pPr>
            <w:r w:rsidRPr="008B4031">
              <w:rPr>
                <w:b/>
                <w:bCs/>
              </w:rPr>
              <w:t>Zdroj dat</w:t>
            </w:r>
          </w:p>
        </w:tc>
      </w:tr>
      <w:tr w:rsidR="00D0398D" w14:paraId="556C619E" w14:textId="77777777" w:rsidTr="00D0398D">
        <w:tc>
          <w:tcPr>
            <w:tcW w:w="1129" w:type="dxa"/>
            <w:vMerge w:val="restart"/>
          </w:tcPr>
          <w:p w14:paraId="7405A97B" w14:textId="77777777" w:rsidR="00D0398D" w:rsidRPr="008B4031" w:rsidRDefault="00D0398D" w:rsidP="00D0398D">
            <w:r w:rsidRPr="008B4031">
              <w:t>Vstupy</w:t>
            </w:r>
          </w:p>
        </w:tc>
        <w:tc>
          <w:tcPr>
            <w:tcW w:w="3402" w:type="dxa"/>
          </w:tcPr>
          <w:p w14:paraId="1843CA86" w14:textId="77777777" w:rsidR="00D0398D" w:rsidRPr="008B4031" w:rsidRDefault="00D0398D" w:rsidP="00D0398D">
            <w:r w:rsidRPr="008B4031">
              <w:t>Podíl využitých finančních prostředků programu</w:t>
            </w:r>
          </w:p>
        </w:tc>
        <w:tc>
          <w:tcPr>
            <w:tcW w:w="2084" w:type="dxa"/>
          </w:tcPr>
          <w:p w14:paraId="7BBD2D73" w14:textId="77777777" w:rsidR="00D0398D" w:rsidRPr="008B4031" w:rsidRDefault="00D0398D" w:rsidP="00D0398D">
            <w:r w:rsidRPr="008B4031">
              <w:t>%</w:t>
            </w:r>
          </w:p>
        </w:tc>
        <w:tc>
          <w:tcPr>
            <w:tcW w:w="2244" w:type="dxa"/>
          </w:tcPr>
          <w:p w14:paraId="23858C84" w14:textId="77777777" w:rsidR="00D0398D" w:rsidRPr="008B4031" w:rsidRDefault="00D0398D" w:rsidP="00D0398D">
            <w:r w:rsidRPr="008B4031">
              <w:t>Monitorovací systém poskytovatele</w:t>
            </w:r>
          </w:p>
        </w:tc>
      </w:tr>
      <w:tr w:rsidR="00D0398D" w14:paraId="53F5391E" w14:textId="77777777" w:rsidTr="00D0398D">
        <w:tc>
          <w:tcPr>
            <w:tcW w:w="1129" w:type="dxa"/>
            <w:vMerge/>
          </w:tcPr>
          <w:p w14:paraId="39E9D70C" w14:textId="77777777" w:rsidR="00D0398D" w:rsidRPr="008B4031" w:rsidRDefault="00D0398D" w:rsidP="00D0398D"/>
        </w:tc>
        <w:tc>
          <w:tcPr>
            <w:tcW w:w="3402" w:type="dxa"/>
          </w:tcPr>
          <w:p w14:paraId="5AEBA95F" w14:textId="77777777" w:rsidR="00D0398D" w:rsidRPr="008B4031" w:rsidRDefault="00D0398D" w:rsidP="00D0398D">
            <w:r w:rsidRPr="008B4031">
              <w:t>Podíl finančních prostředků programu ze zdrojů příjemců</w:t>
            </w:r>
          </w:p>
        </w:tc>
        <w:tc>
          <w:tcPr>
            <w:tcW w:w="2084" w:type="dxa"/>
          </w:tcPr>
          <w:p w14:paraId="1DCD7C54" w14:textId="77777777" w:rsidR="00D0398D" w:rsidRPr="008B4031" w:rsidRDefault="00D0398D" w:rsidP="00D0398D">
            <w:r w:rsidRPr="008B4031">
              <w:t>%</w:t>
            </w:r>
          </w:p>
        </w:tc>
        <w:tc>
          <w:tcPr>
            <w:tcW w:w="2244" w:type="dxa"/>
          </w:tcPr>
          <w:p w14:paraId="6F275BAF" w14:textId="77777777" w:rsidR="00D0398D" w:rsidRPr="008B4031" w:rsidRDefault="00D0398D" w:rsidP="00D0398D">
            <w:r w:rsidRPr="008B4031">
              <w:t>Monitorovací systém poskytovatele</w:t>
            </w:r>
          </w:p>
        </w:tc>
      </w:tr>
      <w:tr w:rsidR="00D0398D" w14:paraId="2AA2B08F" w14:textId="77777777" w:rsidTr="00D0398D">
        <w:tc>
          <w:tcPr>
            <w:tcW w:w="1129" w:type="dxa"/>
            <w:vMerge w:val="restart"/>
          </w:tcPr>
          <w:p w14:paraId="019D0726" w14:textId="77777777" w:rsidR="00D0398D" w:rsidRPr="008B4031" w:rsidRDefault="00D0398D" w:rsidP="00D0398D">
            <w:r w:rsidRPr="008B4031">
              <w:t>Výstupy</w:t>
            </w:r>
          </w:p>
        </w:tc>
        <w:tc>
          <w:tcPr>
            <w:tcW w:w="3402" w:type="dxa"/>
          </w:tcPr>
          <w:p w14:paraId="0027E8B8" w14:textId="77777777" w:rsidR="00D0398D" w:rsidRPr="008B4031" w:rsidRDefault="00D0398D" w:rsidP="00D0398D">
            <w:r w:rsidRPr="008B4031">
              <w:t>Počet podpořených projektů (řešených samostatně, ve spolupráci apod.)</w:t>
            </w:r>
          </w:p>
        </w:tc>
        <w:tc>
          <w:tcPr>
            <w:tcW w:w="2084" w:type="dxa"/>
          </w:tcPr>
          <w:p w14:paraId="161778E5" w14:textId="77777777" w:rsidR="00D0398D" w:rsidRPr="008B4031" w:rsidRDefault="00D0398D" w:rsidP="00D0398D">
            <w:r w:rsidRPr="008B4031">
              <w:t>počet</w:t>
            </w:r>
          </w:p>
        </w:tc>
        <w:tc>
          <w:tcPr>
            <w:tcW w:w="2244" w:type="dxa"/>
          </w:tcPr>
          <w:p w14:paraId="1D85A1F3" w14:textId="333006AD" w:rsidR="00D0398D" w:rsidRPr="008B4031" w:rsidRDefault="00D0398D" w:rsidP="00D0398D">
            <w:r w:rsidRPr="008B4031">
              <w:t xml:space="preserve">Monitorovací systém poskytovatele, IS </w:t>
            </w:r>
            <w:r w:rsidR="008D0BE1">
              <w:t>VVI</w:t>
            </w:r>
          </w:p>
        </w:tc>
      </w:tr>
      <w:tr w:rsidR="00D0398D" w14:paraId="3BF9E353" w14:textId="77777777" w:rsidTr="00D0398D">
        <w:tc>
          <w:tcPr>
            <w:tcW w:w="1129" w:type="dxa"/>
            <w:vMerge/>
          </w:tcPr>
          <w:p w14:paraId="3E5C2A27" w14:textId="77777777" w:rsidR="00D0398D" w:rsidRPr="008B4031" w:rsidRDefault="00D0398D" w:rsidP="00D0398D"/>
        </w:tc>
        <w:tc>
          <w:tcPr>
            <w:tcW w:w="3402" w:type="dxa"/>
          </w:tcPr>
          <w:p w14:paraId="70C9E997" w14:textId="77777777" w:rsidR="00D0398D" w:rsidRPr="008B4031" w:rsidRDefault="00D0398D" w:rsidP="00D0398D">
            <w:r w:rsidRPr="008B4031">
              <w:t>Počet podpořených výzkumných organizací (podniků, konsorcií apod.)</w:t>
            </w:r>
          </w:p>
        </w:tc>
        <w:tc>
          <w:tcPr>
            <w:tcW w:w="2084" w:type="dxa"/>
          </w:tcPr>
          <w:p w14:paraId="0D133461" w14:textId="77777777" w:rsidR="00D0398D" w:rsidRPr="008B4031" w:rsidRDefault="00D0398D" w:rsidP="00D0398D">
            <w:r w:rsidRPr="008B4031">
              <w:t>počet</w:t>
            </w:r>
          </w:p>
        </w:tc>
        <w:tc>
          <w:tcPr>
            <w:tcW w:w="2244" w:type="dxa"/>
          </w:tcPr>
          <w:p w14:paraId="34CD1DB8" w14:textId="561A9442" w:rsidR="00D0398D" w:rsidRPr="008B4031" w:rsidRDefault="00D0398D" w:rsidP="00D0398D">
            <w:r w:rsidRPr="008B4031">
              <w:t xml:space="preserve">Monitorovací systém poskytovatele, IS </w:t>
            </w:r>
            <w:r w:rsidR="008D0BE1">
              <w:t>VVI</w:t>
            </w:r>
          </w:p>
        </w:tc>
      </w:tr>
      <w:tr w:rsidR="00D0398D" w14:paraId="1644E3F1" w14:textId="77777777" w:rsidTr="00D0398D">
        <w:tc>
          <w:tcPr>
            <w:tcW w:w="1129" w:type="dxa"/>
            <w:vMerge/>
          </w:tcPr>
          <w:p w14:paraId="7C92CBED" w14:textId="77777777" w:rsidR="00D0398D" w:rsidRPr="008B4031" w:rsidRDefault="00D0398D" w:rsidP="00D0398D"/>
        </w:tc>
        <w:tc>
          <w:tcPr>
            <w:tcW w:w="3402" w:type="dxa"/>
          </w:tcPr>
          <w:p w14:paraId="26A64F11" w14:textId="77777777" w:rsidR="00D0398D" w:rsidRPr="008B4031" w:rsidRDefault="00D0398D" w:rsidP="00D0398D">
            <w:r w:rsidRPr="008B4031">
              <w:t>Počet výsledků (definovaných v samostatné příloze č. 4 M17+, počet konkrétních druhů výsledků)</w:t>
            </w:r>
          </w:p>
        </w:tc>
        <w:tc>
          <w:tcPr>
            <w:tcW w:w="2084" w:type="dxa"/>
          </w:tcPr>
          <w:p w14:paraId="5533FE57" w14:textId="77777777" w:rsidR="00D0398D" w:rsidRPr="008B4031" w:rsidRDefault="00D0398D" w:rsidP="00D0398D">
            <w:r w:rsidRPr="008B4031">
              <w:t>počet</w:t>
            </w:r>
          </w:p>
        </w:tc>
        <w:tc>
          <w:tcPr>
            <w:tcW w:w="2244" w:type="dxa"/>
          </w:tcPr>
          <w:p w14:paraId="46B12E2A" w14:textId="7B3142FB" w:rsidR="00D0398D" w:rsidRPr="008B4031" w:rsidRDefault="00D0398D" w:rsidP="00D0398D">
            <w:r w:rsidRPr="008B4031">
              <w:t xml:space="preserve">Monitorovací systém poskytovatele, IS </w:t>
            </w:r>
            <w:r w:rsidR="008D0BE1">
              <w:t>VVI</w:t>
            </w:r>
          </w:p>
        </w:tc>
      </w:tr>
      <w:tr w:rsidR="00D0398D" w14:paraId="1D6B47DF" w14:textId="77777777" w:rsidTr="00D0398D">
        <w:tc>
          <w:tcPr>
            <w:tcW w:w="1129" w:type="dxa"/>
            <w:vMerge w:val="restart"/>
          </w:tcPr>
          <w:p w14:paraId="6BE9507E" w14:textId="77777777" w:rsidR="00D0398D" w:rsidRPr="008B4031" w:rsidRDefault="00D0398D" w:rsidP="00D0398D">
            <w:r w:rsidRPr="008B4031">
              <w:t>Výsledky</w:t>
            </w:r>
          </w:p>
        </w:tc>
        <w:tc>
          <w:tcPr>
            <w:tcW w:w="3402" w:type="dxa"/>
          </w:tcPr>
          <w:p w14:paraId="70C1D799" w14:textId="77777777" w:rsidR="00D0398D" w:rsidRPr="008B4031" w:rsidRDefault="00D0398D" w:rsidP="00D0398D">
            <w:r w:rsidRPr="008B4031">
              <w:t>Podíl úspěšně dokončených projektů</w:t>
            </w:r>
          </w:p>
        </w:tc>
        <w:tc>
          <w:tcPr>
            <w:tcW w:w="2084" w:type="dxa"/>
          </w:tcPr>
          <w:p w14:paraId="57790317" w14:textId="77777777" w:rsidR="00D0398D" w:rsidRPr="008B4031" w:rsidRDefault="00D0398D" w:rsidP="00D0398D">
            <w:r w:rsidRPr="008B4031">
              <w:t>%</w:t>
            </w:r>
          </w:p>
        </w:tc>
        <w:tc>
          <w:tcPr>
            <w:tcW w:w="2244" w:type="dxa"/>
          </w:tcPr>
          <w:p w14:paraId="58786298" w14:textId="51AFCB44" w:rsidR="00D0398D" w:rsidRPr="008B4031" w:rsidRDefault="00D0398D" w:rsidP="00D0398D">
            <w:r w:rsidRPr="008B4031">
              <w:t xml:space="preserve">Monitorovací systém poskytovatele, IS </w:t>
            </w:r>
            <w:r w:rsidR="008D0BE1">
              <w:t>VVI</w:t>
            </w:r>
          </w:p>
        </w:tc>
      </w:tr>
      <w:tr w:rsidR="00D0398D" w14:paraId="288156E5" w14:textId="77777777" w:rsidTr="00D0398D">
        <w:tc>
          <w:tcPr>
            <w:tcW w:w="1129" w:type="dxa"/>
            <w:vMerge/>
          </w:tcPr>
          <w:p w14:paraId="37B10A02" w14:textId="77777777" w:rsidR="00D0398D" w:rsidRPr="008B4031" w:rsidRDefault="00D0398D" w:rsidP="00D0398D"/>
        </w:tc>
        <w:tc>
          <w:tcPr>
            <w:tcW w:w="3402" w:type="dxa"/>
          </w:tcPr>
          <w:p w14:paraId="1DD9B9F5" w14:textId="77777777" w:rsidR="00D0398D" w:rsidRPr="008B4031" w:rsidRDefault="00D0398D" w:rsidP="00D0398D">
            <w:r w:rsidRPr="008B4031">
              <w:t>Počet inovovaných výrobků/procesů/služeb</w:t>
            </w:r>
          </w:p>
        </w:tc>
        <w:tc>
          <w:tcPr>
            <w:tcW w:w="2084" w:type="dxa"/>
          </w:tcPr>
          <w:p w14:paraId="44BFAD91" w14:textId="77777777" w:rsidR="00D0398D" w:rsidRPr="008B4031" w:rsidRDefault="00D0398D" w:rsidP="00D0398D">
            <w:r w:rsidRPr="008B4031">
              <w:t>počet</w:t>
            </w:r>
          </w:p>
        </w:tc>
        <w:tc>
          <w:tcPr>
            <w:tcW w:w="2244" w:type="dxa"/>
          </w:tcPr>
          <w:p w14:paraId="08726B0C" w14:textId="77777777" w:rsidR="00D0398D" w:rsidRPr="008B4031" w:rsidRDefault="00D0398D" w:rsidP="00D0398D">
            <w:r w:rsidRPr="008B4031">
              <w:t>Projektové zprávy</w:t>
            </w:r>
          </w:p>
        </w:tc>
      </w:tr>
      <w:tr w:rsidR="00D0398D" w14:paraId="2FE7F4C8" w14:textId="77777777" w:rsidTr="00D0398D">
        <w:tc>
          <w:tcPr>
            <w:tcW w:w="1129" w:type="dxa"/>
            <w:vMerge/>
          </w:tcPr>
          <w:p w14:paraId="04EF5720" w14:textId="77777777" w:rsidR="00D0398D" w:rsidRPr="008B4031" w:rsidRDefault="00D0398D" w:rsidP="00D0398D"/>
        </w:tc>
        <w:tc>
          <w:tcPr>
            <w:tcW w:w="3402" w:type="dxa"/>
          </w:tcPr>
          <w:p w14:paraId="6CEE287C" w14:textId="77777777" w:rsidR="00D0398D" w:rsidRPr="008B4031" w:rsidRDefault="00D0398D" w:rsidP="00D0398D">
            <w:r w:rsidRPr="008B4031">
              <w:t xml:space="preserve">Počet mezinárodních projektů (počet projektů v rámcových programech) </w:t>
            </w:r>
          </w:p>
        </w:tc>
        <w:tc>
          <w:tcPr>
            <w:tcW w:w="2084" w:type="dxa"/>
          </w:tcPr>
          <w:p w14:paraId="0794104A" w14:textId="77777777" w:rsidR="00D0398D" w:rsidRPr="008B4031" w:rsidRDefault="00D0398D" w:rsidP="00D0398D">
            <w:r w:rsidRPr="008B4031">
              <w:t>počet</w:t>
            </w:r>
          </w:p>
        </w:tc>
        <w:tc>
          <w:tcPr>
            <w:tcW w:w="2244" w:type="dxa"/>
          </w:tcPr>
          <w:p w14:paraId="5641A872" w14:textId="77777777" w:rsidR="00D0398D" w:rsidRPr="008B4031" w:rsidRDefault="00D0398D" w:rsidP="00D0398D">
            <w:r w:rsidRPr="008B4031">
              <w:t>Projektové zprávy</w:t>
            </w:r>
          </w:p>
        </w:tc>
      </w:tr>
    </w:tbl>
    <w:p w14:paraId="70A66E8D" w14:textId="0D791AA1" w:rsidR="00D0398D" w:rsidRDefault="00D0398D" w:rsidP="00D0398D">
      <w:pPr>
        <w:rPr>
          <w:b/>
          <w:bCs/>
        </w:rPr>
      </w:pPr>
      <w:r>
        <w:rPr>
          <w:b/>
          <w:bCs/>
        </w:rPr>
        <w:t xml:space="preserve"> </w:t>
      </w:r>
    </w:p>
    <w:p w14:paraId="7765663B" w14:textId="060F3171" w:rsidR="000A74C5" w:rsidRPr="00D22B33" w:rsidRDefault="000A74C5" w:rsidP="00C77F9F">
      <w:pPr>
        <w:jc w:val="both"/>
        <w:rPr>
          <w:rFonts w:ascii="Calibri" w:hAnsi="Calibri" w:cs="Calibri"/>
        </w:rPr>
      </w:pPr>
      <w:r>
        <w:rPr>
          <w:rFonts w:ascii="Calibri" w:hAnsi="Calibri" w:cs="Calibri"/>
        </w:rPr>
        <w:t>V rámci činnosti</w:t>
      </w:r>
      <w:r w:rsidR="00352E79">
        <w:rPr>
          <w:rFonts w:ascii="Calibri" w:hAnsi="Calibri" w:cs="Calibri"/>
        </w:rPr>
        <w:t xml:space="preserve"> </w:t>
      </w:r>
      <w:r w:rsidR="00463148">
        <w:rPr>
          <w:rFonts w:ascii="Calibri" w:hAnsi="Calibri" w:cs="Calibri"/>
        </w:rPr>
        <w:t>KMP</w:t>
      </w:r>
      <w:r>
        <w:rPr>
          <w:rFonts w:ascii="Calibri" w:hAnsi="Calibri" w:cs="Calibri"/>
        </w:rPr>
        <w:t xml:space="preserve"> bude vytvořena návodná sada</w:t>
      </w:r>
      <w:r w:rsidRPr="00C5798B">
        <w:rPr>
          <w:rFonts w:ascii="Calibri" w:hAnsi="Calibri" w:cs="Calibri"/>
        </w:rPr>
        <w:t xml:space="preserve"> indikátorů, z níž budou poskytovatelé vybírat relevantní indikátory</w:t>
      </w:r>
      <w:r w:rsidR="00147C9C">
        <w:rPr>
          <w:rFonts w:ascii="Calibri" w:hAnsi="Calibri" w:cs="Calibri"/>
        </w:rPr>
        <w:t xml:space="preserve"> pro</w:t>
      </w:r>
      <w:r w:rsidRPr="00C5798B">
        <w:rPr>
          <w:rFonts w:ascii="Calibri" w:hAnsi="Calibri" w:cs="Calibri"/>
        </w:rPr>
        <w:t xml:space="preserve"> hodnocení výsledků a dopadů na úrovni jednotlivých oblastí a na celkové úrovni</w:t>
      </w:r>
      <w:r w:rsidR="0065711E">
        <w:rPr>
          <w:rFonts w:ascii="Calibri" w:hAnsi="Calibri" w:cs="Calibri"/>
        </w:rPr>
        <w:t xml:space="preserve"> programů.</w:t>
      </w:r>
    </w:p>
    <w:p w14:paraId="6493A86A" w14:textId="05866DE2" w:rsidR="00FC3D19" w:rsidRPr="00FC3D19" w:rsidRDefault="00FC3D19" w:rsidP="00C77F9F">
      <w:pPr>
        <w:jc w:val="both"/>
      </w:pPr>
      <w:r w:rsidRPr="00FC3D19">
        <w:t xml:space="preserve">Pro potřebu </w:t>
      </w:r>
      <w:r w:rsidRPr="00FC3D19">
        <w:rPr>
          <w:b/>
        </w:rPr>
        <w:t>centrální koordinace systému</w:t>
      </w:r>
      <w:r w:rsidRPr="00FC3D19">
        <w:t xml:space="preserve"> účelové podpory </w:t>
      </w:r>
      <w:r w:rsidR="008D0BE1">
        <w:t>VVI</w:t>
      </w:r>
      <w:r w:rsidRPr="00FC3D19">
        <w:t xml:space="preserve"> a zhodnocení využívání příslušných finan</w:t>
      </w:r>
      <w:r w:rsidR="00A967D3">
        <w:t xml:space="preserve">čních prostředků </w:t>
      </w:r>
      <w:r w:rsidR="008403CD">
        <w:t xml:space="preserve">provádí </w:t>
      </w:r>
      <w:r w:rsidR="00A967D3">
        <w:t>věcně příslušný útvar</w:t>
      </w:r>
      <w:r w:rsidRPr="00FC3D19">
        <w:t xml:space="preserve"> ÚV ČR</w:t>
      </w:r>
      <w:r w:rsidR="00A967D3">
        <w:t>-SVVI</w:t>
      </w:r>
      <w:r w:rsidR="008403CD">
        <w:t xml:space="preserve"> </w:t>
      </w:r>
      <w:r w:rsidRPr="00FC3D19">
        <w:t>monitorování čerpání finančních prostředků a dosahování výsledků a souhrnné hodnocení ukončených programů a zajišťuje metodickou podporu poskytovatelů</w:t>
      </w:r>
      <w:r w:rsidR="009D6A19">
        <w:t>m</w:t>
      </w:r>
      <w:r w:rsidRPr="00FC3D19">
        <w:t xml:space="preserve">. </w:t>
      </w:r>
      <w:r w:rsidR="009D6A19">
        <w:t>V</w:t>
      </w:r>
      <w:r w:rsidRPr="00FC3D19">
        <w:t>yužívá kvantitativní indikátory vycházející z dat uvedených v </w:t>
      </w:r>
      <w:r w:rsidR="00463148">
        <w:t>IS VVI</w:t>
      </w:r>
      <w:r w:rsidRPr="00FC3D19">
        <w:t xml:space="preserve"> propojených s daty z </w:t>
      </w:r>
      <w:r w:rsidR="00463148">
        <w:t>RES</w:t>
      </w:r>
      <w:r w:rsidRPr="00FC3D19">
        <w:t xml:space="preserve">.  </w:t>
      </w:r>
    </w:p>
    <w:p w14:paraId="30FEFA9F" w14:textId="1762D530" w:rsidR="001B1FCB" w:rsidRDefault="00FC3D19" w:rsidP="00985B06">
      <w:pPr>
        <w:jc w:val="both"/>
      </w:pPr>
      <w:r w:rsidRPr="00774759">
        <w:t xml:space="preserve">Mezi oblasti, které jsou </w:t>
      </w:r>
      <w:r w:rsidRPr="00774759">
        <w:rPr>
          <w:b/>
        </w:rPr>
        <w:t>na strategické – centrální úrovni monitorovány a hodnoceny</w:t>
      </w:r>
      <w:r w:rsidRPr="00774759">
        <w:t>, patří mimo jiné finanční stránka realizovaného programu, relevance výstupů ve vztahu k prioritám a cílům programu. Dále například využitelnost dosažených poznatků v praxi a rozvoj nových výzkumných směrů</w:t>
      </w:r>
      <w:r w:rsidR="00743BE4">
        <w:t>.</w:t>
      </w:r>
    </w:p>
    <w:p w14:paraId="22E581A6" w14:textId="77777777" w:rsidR="00743BE4" w:rsidRDefault="00743BE4" w:rsidP="00985B06">
      <w:pPr>
        <w:jc w:val="both"/>
      </w:pPr>
    </w:p>
    <w:p w14:paraId="28C33E98" w14:textId="77777777" w:rsidR="006C418D" w:rsidRDefault="006C418D" w:rsidP="00985B06">
      <w:pPr>
        <w:jc w:val="both"/>
      </w:pPr>
    </w:p>
    <w:tbl>
      <w:tblPr>
        <w:tblStyle w:val="Mkatabulky"/>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3221"/>
        <w:gridCol w:w="5821"/>
      </w:tblGrid>
      <w:tr w:rsidR="00DC0B3F" w14:paraId="547061C2" w14:textId="77777777" w:rsidTr="00DC0B3F">
        <w:tc>
          <w:tcPr>
            <w:tcW w:w="2972" w:type="dxa"/>
          </w:tcPr>
          <w:p w14:paraId="43BFAB38" w14:textId="77777777" w:rsidR="00F70A60" w:rsidRPr="00F70A60" w:rsidRDefault="00DC0B3F" w:rsidP="007F5475">
            <w:pPr>
              <w:pStyle w:val="Odstavecseseznamem"/>
              <w:numPr>
                <w:ilvl w:val="0"/>
                <w:numId w:val="16"/>
              </w:numPr>
              <w:rPr>
                <w:b/>
                <w:sz w:val="28"/>
                <w:szCs w:val="28"/>
              </w:rPr>
            </w:pPr>
            <w:r w:rsidRPr="002C25DC">
              <w:rPr>
                <w:b/>
                <w:color w:val="FFC000"/>
                <w:sz w:val="28"/>
                <w:szCs w:val="28"/>
              </w:rPr>
              <w:t>DOPORUČENÍ</w:t>
            </w:r>
          </w:p>
          <w:p w14:paraId="12E9D8B2" w14:textId="273516E3" w:rsidR="00DC0B3F" w:rsidRPr="002C25DC" w:rsidRDefault="00F70A60" w:rsidP="00F70A60">
            <w:pPr>
              <w:pStyle w:val="Odstavecseseznamem"/>
              <w:jc w:val="right"/>
              <w:rPr>
                <w:b/>
                <w:sz w:val="28"/>
                <w:szCs w:val="28"/>
              </w:rPr>
            </w:pPr>
            <w:r>
              <w:rPr>
                <w:b/>
                <w:color w:val="FFC000"/>
                <w:sz w:val="28"/>
                <w:szCs w:val="28"/>
              </w:rPr>
              <w:t>vzešlá z jednání platformy pro přípravu MP</w:t>
            </w:r>
            <w:r w:rsidRPr="002C25DC">
              <w:rPr>
                <w:b/>
                <w:color w:val="FFC000"/>
                <w:sz w:val="28"/>
                <w:szCs w:val="28"/>
              </w:rPr>
              <w:t xml:space="preserve">     </w:t>
            </w:r>
            <w:r w:rsidR="00DC0B3F" w:rsidRPr="002C25DC">
              <w:rPr>
                <w:b/>
                <w:color w:val="FFC000"/>
                <w:sz w:val="28"/>
                <w:szCs w:val="28"/>
              </w:rPr>
              <w:t xml:space="preserve">      </w:t>
            </w:r>
          </w:p>
        </w:tc>
        <w:tc>
          <w:tcPr>
            <w:tcW w:w="6047" w:type="dxa"/>
          </w:tcPr>
          <w:p w14:paraId="22933521" w14:textId="77777777" w:rsidR="00DC0B3F" w:rsidRDefault="002E61CB" w:rsidP="007F5475">
            <w:pPr>
              <w:pStyle w:val="Odstavecseseznamem"/>
              <w:numPr>
                <w:ilvl w:val="0"/>
                <w:numId w:val="15"/>
              </w:numPr>
            </w:pPr>
            <w:r w:rsidRPr="00F24125">
              <w:t>Dále konsolidovat pravidla pro poskytování účelové podpory s pravidly pro poskytování podpory z programů Horizon.</w:t>
            </w:r>
          </w:p>
          <w:p w14:paraId="124872EC" w14:textId="77777777" w:rsidR="00F378A5" w:rsidRPr="00F378A5" w:rsidRDefault="00F378A5" w:rsidP="007F5475">
            <w:pPr>
              <w:pStyle w:val="Odstavecseseznamem"/>
              <w:numPr>
                <w:ilvl w:val="0"/>
                <w:numId w:val="15"/>
              </w:numPr>
            </w:pPr>
            <w:r w:rsidRPr="00F911BA">
              <w:rPr>
                <w:rFonts w:ascii="Calibri" w:hAnsi="Calibri" w:cs="Calibri"/>
              </w:rPr>
              <w:t xml:space="preserve">Vytvořit návodný dokument pro přípravu programu, viz </w:t>
            </w:r>
            <w:r>
              <w:rPr>
                <w:rFonts w:ascii="Calibri" w:hAnsi="Calibri" w:cs="Calibri"/>
              </w:rPr>
              <w:t>Zásady</w:t>
            </w:r>
            <w:r w:rsidRPr="00F911BA">
              <w:rPr>
                <w:rFonts w:ascii="Calibri" w:hAnsi="Calibri" w:cs="Calibri"/>
              </w:rPr>
              <w:t>.</w:t>
            </w:r>
          </w:p>
          <w:p w14:paraId="35CC481B" w14:textId="6818154F" w:rsidR="00F378A5" w:rsidRPr="00D05233" w:rsidRDefault="00F378A5" w:rsidP="007F5475">
            <w:pPr>
              <w:pStyle w:val="Odstavecseseznamem"/>
              <w:numPr>
                <w:ilvl w:val="0"/>
                <w:numId w:val="15"/>
              </w:numPr>
            </w:pPr>
            <w:r w:rsidRPr="00F911BA">
              <w:rPr>
                <w:rFonts w:ascii="Calibri" w:hAnsi="Calibri" w:cs="Calibri"/>
              </w:rPr>
              <w:t>Sjednotit přístup k projednávání a schvalování návrhů programů</w:t>
            </w:r>
            <w:r w:rsidR="00D05233">
              <w:rPr>
                <w:rFonts w:ascii="Calibri" w:hAnsi="Calibri" w:cs="Calibri"/>
              </w:rPr>
              <w:t xml:space="preserve">, </w:t>
            </w:r>
            <w:r w:rsidR="00D05233" w:rsidRPr="00F911BA">
              <w:rPr>
                <w:rFonts w:ascii="Calibri" w:hAnsi="Calibri" w:cs="Calibri"/>
              </w:rPr>
              <w:t xml:space="preserve">viz </w:t>
            </w:r>
            <w:r w:rsidR="00D05233">
              <w:rPr>
                <w:rFonts w:ascii="Calibri" w:hAnsi="Calibri" w:cs="Calibri"/>
              </w:rPr>
              <w:t>Zásady</w:t>
            </w:r>
            <w:r w:rsidRPr="00F911BA">
              <w:rPr>
                <w:rFonts w:ascii="Calibri" w:hAnsi="Calibri" w:cs="Calibri"/>
              </w:rPr>
              <w:t>.</w:t>
            </w:r>
          </w:p>
          <w:p w14:paraId="30B1D27C" w14:textId="32BFB0AE" w:rsidR="00876AC5" w:rsidRPr="00876AC5" w:rsidRDefault="00D05233" w:rsidP="007F5475">
            <w:pPr>
              <w:pStyle w:val="Odstavecseseznamem"/>
              <w:numPr>
                <w:ilvl w:val="0"/>
                <w:numId w:val="15"/>
              </w:numPr>
            </w:pPr>
            <w:r w:rsidRPr="00F911BA">
              <w:rPr>
                <w:rFonts w:ascii="Calibri" w:hAnsi="Calibri" w:cs="Calibri"/>
              </w:rPr>
              <w:t xml:space="preserve">Při hodnocení obsahového vymezení programu zohlednit skutečnost, že program je nástrojem realizace resortní koncepce </w:t>
            </w:r>
            <w:r w:rsidR="008D0BE1">
              <w:rPr>
                <w:rFonts w:ascii="Calibri" w:hAnsi="Calibri" w:cs="Calibri"/>
              </w:rPr>
              <w:t>VVI</w:t>
            </w:r>
            <w:r w:rsidRPr="00F911BA">
              <w:rPr>
                <w:rFonts w:ascii="Calibri" w:hAnsi="Calibri" w:cs="Calibri"/>
              </w:rPr>
              <w:t xml:space="preserve"> a</w:t>
            </w:r>
            <w:r>
              <w:rPr>
                <w:rFonts w:ascii="Calibri" w:hAnsi="Calibri" w:cs="Calibri"/>
              </w:rPr>
              <w:t xml:space="preserve"> je tedy koncepci podřízen, </w:t>
            </w:r>
            <w:r w:rsidRPr="00F911BA">
              <w:rPr>
                <w:rFonts w:ascii="Calibri" w:hAnsi="Calibri" w:cs="Calibri"/>
              </w:rPr>
              <w:t xml:space="preserve">viz </w:t>
            </w:r>
            <w:r>
              <w:rPr>
                <w:rFonts w:ascii="Calibri" w:hAnsi="Calibri" w:cs="Calibri"/>
              </w:rPr>
              <w:t>Zásady (KHV).</w:t>
            </w:r>
          </w:p>
          <w:p w14:paraId="0658BDDD" w14:textId="08949B2B" w:rsidR="00876AC5" w:rsidRPr="00876AC5" w:rsidRDefault="00876AC5" w:rsidP="007F5475">
            <w:pPr>
              <w:pStyle w:val="Odstavecseseznamem"/>
              <w:numPr>
                <w:ilvl w:val="0"/>
                <w:numId w:val="15"/>
              </w:numPr>
            </w:pPr>
            <w:r w:rsidRPr="00876AC5">
              <w:rPr>
                <w:rFonts w:ascii="Calibri" w:hAnsi="Calibri" w:cs="Calibri"/>
              </w:rPr>
              <w:t>Doporučení k úpravě návrhu programu účelové podpory formulovat tak, aby reflektovala různorodost programů, byla konkrétní a adresná. Doporučení musí navrhovat konkrétní řešení k odstranění zj</w:t>
            </w:r>
            <w:r>
              <w:rPr>
                <w:rFonts w:ascii="Calibri" w:hAnsi="Calibri" w:cs="Calibri"/>
              </w:rPr>
              <w:t xml:space="preserve">ištěných slabin návrhu programu, </w:t>
            </w:r>
            <w:r w:rsidRPr="00F911BA">
              <w:rPr>
                <w:rFonts w:ascii="Calibri" w:hAnsi="Calibri" w:cs="Calibri"/>
              </w:rPr>
              <w:t xml:space="preserve">viz </w:t>
            </w:r>
            <w:r>
              <w:rPr>
                <w:rFonts w:ascii="Calibri" w:hAnsi="Calibri" w:cs="Calibri"/>
              </w:rPr>
              <w:t>Zásady (KHV).</w:t>
            </w:r>
          </w:p>
          <w:p w14:paraId="0ADFBC84" w14:textId="7E4AF7D1" w:rsidR="00D05233" w:rsidRPr="003E2379" w:rsidRDefault="005B1E5C" w:rsidP="007F5475">
            <w:pPr>
              <w:pStyle w:val="Odstavecseseznamem"/>
              <w:numPr>
                <w:ilvl w:val="0"/>
                <w:numId w:val="15"/>
              </w:numPr>
            </w:pPr>
            <w:r>
              <w:rPr>
                <w:rFonts w:ascii="Calibri" w:hAnsi="Calibri" w:cs="Calibri"/>
              </w:rPr>
              <w:t xml:space="preserve">Stanovit harmonogram </w:t>
            </w:r>
            <w:r w:rsidR="003E2379" w:rsidRPr="00F911BA">
              <w:rPr>
                <w:rFonts w:ascii="Calibri" w:hAnsi="Calibri" w:cs="Calibri"/>
              </w:rPr>
              <w:t>schvalování návrhu programu vzhledem k harmonogra</w:t>
            </w:r>
            <w:r w:rsidR="003E2379">
              <w:rPr>
                <w:rFonts w:ascii="Calibri" w:hAnsi="Calibri" w:cs="Calibri"/>
              </w:rPr>
              <w:t xml:space="preserve">mu přípravy státního rozpočtu, </w:t>
            </w:r>
            <w:r w:rsidR="003E2379" w:rsidRPr="00F911BA">
              <w:rPr>
                <w:rFonts w:ascii="Calibri" w:hAnsi="Calibri" w:cs="Calibri"/>
              </w:rPr>
              <w:t xml:space="preserve">viz </w:t>
            </w:r>
            <w:r w:rsidR="003E2379">
              <w:rPr>
                <w:rFonts w:ascii="Calibri" w:hAnsi="Calibri" w:cs="Calibri"/>
              </w:rPr>
              <w:t>Zásady</w:t>
            </w:r>
            <w:r w:rsidR="004D5EEB">
              <w:rPr>
                <w:rFonts w:ascii="Calibri" w:hAnsi="Calibri" w:cs="Calibri"/>
              </w:rPr>
              <w:t xml:space="preserve"> a tento MP</w:t>
            </w:r>
            <w:r w:rsidR="003E2379">
              <w:rPr>
                <w:rFonts w:ascii="Calibri" w:hAnsi="Calibri" w:cs="Calibri"/>
              </w:rPr>
              <w:t>.</w:t>
            </w:r>
          </w:p>
          <w:p w14:paraId="4B952212" w14:textId="77777777" w:rsidR="003E2379" w:rsidRPr="005B1E5C" w:rsidRDefault="005B1E5C" w:rsidP="007F5475">
            <w:pPr>
              <w:pStyle w:val="Odstavecseseznamem"/>
              <w:numPr>
                <w:ilvl w:val="0"/>
                <w:numId w:val="15"/>
              </w:numPr>
            </w:pPr>
            <w:r w:rsidRPr="00F911BA">
              <w:rPr>
                <w:rFonts w:ascii="Calibri" w:hAnsi="Calibri" w:cs="Calibri"/>
              </w:rPr>
              <w:t>Vytvořit nové principy pro hodnocení progra</w:t>
            </w:r>
            <w:r>
              <w:rPr>
                <w:rFonts w:ascii="Calibri" w:hAnsi="Calibri" w:cs="Calibri"/>
              </w:rPr>
              <w:t>mů a skupin grantových projektů, viz Zásady.</w:t>
            </w:r>
          </w:p>
          <w:p w14:paraId="5D0AD960" w14:textId="77777777" w:rsidR="005B1E5C" w:rsidRPr="005B1E5C" w:rsidRDefault="005B1E5C" w:rsidP="007F5475">
            <w:pPr>
              <w:pStyle w:val="Odstavecseseznamem"/>
              <w:numPr>
                <w:ilvl w:val="0"/>
                <w:numId w:val="15"/>
              </w:numPr>
            </w:pPr>
            <w:r w:rsidRPr="00F911BA">
              <w:rPr>
                <w:rFonts w:ascii="Calibri" w:hAnsi="Calibri" w:cs="Calibri"/>
              </w:rPr>
              <w:t>Stanovit souhrnné požadavky (</w:t>
            </w:r>
            <w:r>
              <w:rPr>
                <w:rFonts w:ascii="Calibri" w:hAnsi="Calibri" w:cs="Calibri"/>
              </w:rPr>
              <w:t>principy</w:t>
            </w:r>
            <w:r w:rsidRPr="00F911BA">
              <w:rPr>
                <w:rFonts w:ascii="Calibri" w:hAnsi="Calibri" w:cs="Calibri"/>
              </w:rPr>
              <w:t>), které mají splňovat návrh</w:t>
            </w:r>
            <w:r>
              <w:rPr>
                <w:rFonts w:ascii="Calibri" w:hAnsi="Calibri" w:cs="Calibri"/>
              </w:rPr>
              <w:t>y programů, viz Zásady.</w:t>
            </w:r>
          </w:p>
          <w:p w14:paraId="35AE4A10" w14:textId="2DD2F81D" w:rsidR="005B1E5C" w:rsidRPr="008611C3" w:rsidRDefault="008038B1" w:rsidP="007F5475">
            <w:pPr>
              <w:pStyle w:val="Odstavecseseznamem"/>
              <w:numPr>
                <w:ilvl w:val="0"/>
                <w:numId w:val="15"/>
              </w:numPr>
            </w:pPr>
            <w:r w:rsidRPr="00F911BA">
              <w:rPr>
                <w:rFonts w:ascii="Calibri" w:hAnsi="Calibri" w:cs="Calibri"/>
              </w:rPr>
              <w:t>Vytvořit společné principy pro hodnocení dopadů, které poskytnou metodický základ pro obsahové zadání evaluací, včetně stanovení potřeby zohlednění vlivu vnějšího prostředí, potřeby využití kvalitativních indikátorů apod</w:t>
            </w:r>
            <w:r w:rsidR="004D5EEB">
              <w:rPr>
                <w:rFonts w:ascii="Calibri" w:hAnsi="Calibri" w:cs="Calibri"/>
              </w:rPr>
              <w:t>.,</w:t>
            </w:r>
            <w:r w:rsidR="002B620C">
              <w:rPr>
                <w:rFonts w:ascii="Calibri" w:hAnsi="Calibri" w:cs="Calibri"/>
              </w:rPr>
              <w:t xml:space="preserve"> </w:t>
            </w:r>
            <w:r>
              <w:rPr>
                <w:rFonts w:ascii="Calibri" w:hAnsi="Calibri" w:cs="Calibri"/>
              </w:rPr>
              <w:t>viz Zásady.</w:t>
            </w:r>
          </w:p>
          <w:p w14:paraId="292A3CEF" w14:textId="50F30442" w:rsidR="008611C3" w:rsidRDefault="008611C3" w:rsidP="007F5475">
            <w:pPr>
              <w:pStyle w:val="Odstavecseseznamem"/>
              <w:numPr>
                <w:ilvl w:val="0"/>
                <w:numId w:val="15"/>
              </w:numPr>
            </w:pPr>
            <w:r w:rsidRPr="00C5798B">
              <w:rPr>
                <w:rFonts w:ascii="Calibri" w:hAnsi="Calibri" w:cs="Calibri"/>
              </w:rPr>
              <w:t xml:space="preserve">Zřídit </w:t>
            </w:r>
            <w:proofErr w:type="spellStart"/>
            <w:r w:rsidRPr="00C5798B">
              <w:rPr>
                <w:rFonts w:ascii="Calibri" w:hAnsi="Calibri" w:cs="Calibri"/>
              </w:rPr>
              <w:t>repozitář</w:t>
            </w:r>
            <w:proofErr w:type="spellEnd"/>
            <w:r w:rsidRPr="00C5798B">
              <w:rPr>
                <w:rFonts w:ascii="Calibri" w:hAnsi="Calibri" w:cs="Calibri"/>
              </w:rPr>
              <w:t xml:space="preserve"> evaluačních zpráv, který bude obsahovat zprávy z jednotlivých druhů evaluací programů</w:t>
            </w:r>
            <w:r w:rsidR="004D5EEB">
              <w:rPr>
                <w:rFonts w:ascii="Calibri" w:hAnsi="Calibri" w:cs="Calibri"/>
              </w:rPr>
              <w:t xml:space="preserve"> a skupin grantových projektů</w:t>
            </w:r>
            <w:r w:rsidRPr="00C5798B">
              <w:rPr>
                <w:rFonts w:ascii="Calibri" w:hAnsi="Calibri" w:cs="Calibri"/>
              </w:rPr>
              <w:t xml:space="preserve"> všech poskytovatelů.</w:t>
            </w:r>
          </w:p>
        </w:tc>
      </w:tr>
    </w:tbl>
    <w:p w14:paraId="635A3DAD" w14:textId="77777777" w:rsidR="00985B06" w:rsidRDefault="00985B06" w:rsidP="00985B06">
      <w:pPr>
        <w:jc w:val="both"/>
      </w:pPr>
    </w:p>
    <w:p w14:paraId="76763601" w14:textId="65450D35" w:rsidR="006C418D" w:rsidRDefault="006C418D">
      <w:r>
        <w:br w:type="page"/>
      </w:r>
    </w:p>
    <w:p w14:paraId="251888BE" w14:textId="77777777" w:rsidR="00CE734A" w:rsidRDefault="00CE734A" w:rsidP="00985B06">
      <w:pPr>
        <w:jc w:val="both"/>
      </w:pPr>
    </w:p>
    <w:p w14:paraId="6A36992D" w14:textId="790B3D47" w:rsidR="001B1FCB" w:rsidRDefault="00FE5690" w:rsidP="008922B0">
      <w:pPr>
        <w:pStyle w:val="Nadpis1"/>
      </w:pPr>
      <w:bookmarkStart w:id="10" w:name="_Toc195184936"/>
      <w:r w:rsidRPr="00985B06">
        <w:t xml:space="preserve">Veřejné soutěže a veřejné zakázky </w:t>
      </w:r>
      <w:r w:rsidR="004D5EEB">
        <w:t xml:space="preserve">programů </w:t>
      </w:r>
      <w:r w:rsidRPr="00985B06">
        <w:t>účelové podpory</w:t>
      </w:r>
      <w:bookmarkEnd w:id="10"/>
    </w:p>
    <w:p w14:paraId="16F219A7" w14:textId="77777777" w:rsidR="00985B06" w:rsidRPr="00985B06" w:rsidRDefault="00985B06" w:rsidP="00985B06"/>
    <w:p w14:paraId="7AFCF0A1" w14:textId="11322D47" w:rsidR="005872E8" w:rsidRDefault="001B1FCB" w:rsidP="00A47DFD">
      <w:pPr>
        <w:jc w:val="both"/>
      </w:pPr>
      <w:r w:rsidRPr="00796FCE">
        <w:t>Programy účelové podpory</w:t>
      </w:r>
      <w:r w:rsidR="004A584A" w:rsidRPr="00796FCE">
        <w:t xml:space="preserve"> </w:t>
      </w:r>
      <w:r w:rsidR="008D0BE1" w:rsidRPr="00796FCE">
        <w:t>VVI</w:t>
      </w:r>
      <w:r w:rsidRPr="00796FCE">
        <w:t xml:space="preserve"> js</w:t>
      </w:r>
      <w:r w:rsidRPr="00E260B3">
        <w:t>ou</w:t>
      </w:r>
      <w:r>
        <w:t xml:space="preserve"> realizovány prostřednictvím veřejných soutěží, v menší míře formou veřejných zakázek. Doporučení uvedená v Metodickém pokynu k harmonizaci jsou zaměřena zejména na přípravu, realizaci a vyhodnocován</w:t>
      </w:r>
      <w:r w:rsidR="00E260B3">
        <w:t>í v</w:t>
      </w:r>
      <w:r w:rsidR="00E42D87">
        <w:t>e</w:t>
      </w:r>
      <w:r>
        <w:t>řejných soutěží</w:t>
      </w:r>
      <w:r w:rsidR="005B51D2">
        <w:t xml:space="preserve">. </w:t>
      </w:r>
      <w:r>
        <w:t xml:space="preserve"> V menší míře pak na veřejné zakázky, které se řídí specifickým </w:t>
      </w:r>
      <w:r w:rsidR="002B620C">
        <w:t>z</w:t>
      </w:r>
      <w:r w:rsidR="00784701">
        <w:t>ákonem č. 134/2016 Sb.</w:t>
      </w:r>
      <w:r w:rsidR="00124104">
        <w:t>,</w:t>
      </w:r>
      <w:r w:rsidR="00784701">
        <w:t xml:space="preserve"> o zadávání veřejných zakázek</w:t>
      </w:r>
      <w:r>
        <w:t xml:space="preserve">. </w:t>
      </w:r>
    </w:p>
    <w:p w14:paraId="2ADC43D9" w14:textId="77777777" w:rsidR="00A47DFD" w:rsidRDefault="00A47DFD" w:rsidP="00A47DFD">
      <w:pPr>
        <w:jc w:val="both"/>
      </w:pPr>
    </w:p>
    <w:p w14:paraId="566E53CE" w14:textId="45D4EAFB" w:rsidR="00A47DFD" w:rsidRPr="00766CF0" w:rsidRDefault="00A47DFD" w:rsidP="00766CF0">
      <w:pPr>
        <w:pStyle w:val="Nadpis2"/>
        <w:spacing w:after="240"/>
        <w:ind w:left="718"/>
        <w:rPr>
          <w:rFonts w:cstheme="minorHAnsi"/>
          <w:szCs w:val="28"/>
        </w:rPr>
      </w:pPr>
      <w:bookmarkStart w:id="11" w:name="_Toc195184937"/>
      <w:r w:rsidRPr="00766CF0">
        <w:rPr>
          <w:rFonts w:cstheme="minorHAnsi"/>
          <w:szCs w:val="28"/>
        </w:rPr>
        <w:t>Veřejné soutěže realizované v rámci programů účelové podpory</w:t>
      </w:r>
      <w:bookmarkEnd w:id="11"/>
    </w:p>
    <w:p w14:paraId="1E9A2D1D" w14:textId="3ED5AC41" w:rsidR="00DE6798" w:rsidRDefault="00DE6798" w:rsidP="00481B0B">
      <w:pPr>
        <w:rPr>
          <w:b/>
        </w:rPr>
      </w:pPr>
      <w:bookmarkStart w:id="12" w:name="_Toc192517069"/>
      <w:r w:rsidRPr="00796FCE">
        <w:t xml:space="preserve">Proces přípravy veřejné soutěže, resp. </w:t>
      </w:r>
      <w:r w:rsidR="00215738" w:rsidRPr="00796FCE">
        <w:t xml:space="preserve">zaměření konkrétní veřejné soutěže a </w:t>
      </w:r>
      <w:r w:rsidR="005975E1" w:rsidRPr="00796FCE">
        <w:t>hodnoti</w:t>
      </w:r>
      <w:r w:rsidR="00215738" w:rsidRPr="00796FCE">
        <w:t xml:space="preserve">cích kritérií, nastavení </w:t>
      </w:r>
      <w:r w:rsidRPr="00796FCE">
        <w:t>přijímání a hodnocení návrhů projektů je vhodné zahájit již v průběhu procesu schvalování návrhu programu. Sestává zejména z</w:t>
      </w:r>
      <w:r w:rsidRPr="00796FCE">
        <w:rPr>
          <w:bCs/>
        </w:rPr>
        <w:t xml:space="preserve"> </w:t>
      </w:r>
      <w:r w:rsidRPr="00796FCE">
        <w:t>následujících činností:</w:t>
      </w:r>
      <w:bookmarkEnd w:id="12"/>
      <w:r w:rsidRPr="00796FCE">
        <w:t xml:space="preserve"> </w:t>
      </w:r>
    </w:p>
    <w:p w14:paraId="1BC17FFD" w14:textId="680CEBD7" w:rsidR="00DE6798" w:rsidRPr="00E17A79" w:rsidRDefault="00DE6798" w:rsidP="007F5475">
      <w:pPr>
        <w:pStyle w:val="Odstavecseseznamem"/>
        <w:numPr>
          <w:ilvl w:val="0"/>
          <w:numId w:val="2"/>
        </w:numPr>
        <w:spacing w:line="276" w:lineRule="auto"/>
        <w:jc w:val="both"/>
        <w:rPr>
          <w:bCs/>
          <w:iCs/>
        </w:rPr>
      </w:pPr>
      <w:r w:rsidRPr="00E17A79">
        <w:rPr>
          <w:bCs/>
          <w:iCs/>
        </w:rPr>
        <w:t>konkretizace návrhu zaměření veřejné soutěže/veřejné zakázky</w:t>
      </w:r>
      <w:r w:rsidR="007757B8">
        <w:rPr>
          <w:bCs/>
          <w:iCs/>
        </w:rPr>
        <w:t xml:space="preserve">, </w:t>
      </w:r>
      <w:r w:rsidR="007757B8">
        <w:t>pokud nebylo dostatečně konkretizováno v rámci schvalovaného programu;</w:t>
      </w:r>
    </w:p>
    <w:p w14:paraId="6957C734" w14:textId="6BFAD79D" w:rsidR="00DE6798" w:rsidRPr="00E17A79" w:rsidRDefault="00DE6798" w:rsidP="007F5475">
      <w:pPr>
        <w:pStyle w:val="Odstavecseseznamem"/>
        <w:numPr>
          <w:ilvl w:val="0"/>
          <w:numId w:val="2"/>
        </w:numPr>
        <w:spacing w:line="276" w:lineRule="auto"/>
        <w:jc w:val="both"/>
        <w:rPr>
          <w:bCs/>
          <w:iCs/>
        </w:rPr>
      </w:pPr>
      <w:r w:rsidRPr="00E17A79">
        <w:rPr>
          <w:bCs/>
          <w:iCs/>
        </w:rPr>
        <w:t>zpracování podrobných hodnot</w:t>
      </w:r>
      <w:r w:rsidR="005975E1">
        <w:rPr>
          <w:bCs/>
          <w:iCs/>
        </w:rPr>
        <w:t>i</w:t>
      </w:r>
      <w:r w:rsidRPr="00E17A79">
        <w:rPr>
          <w:bCs/>
          <w:iCs/>
        </w:rPr>
        <w:t>cích kritérií a pokynů pro přijímání a hodnocení projektů;</w:t>
      </w:r>
    </w:p>
    <w:p w14:paraId="6781FBDE" w14:textId="77777777" w:rsidR="00DE6798" w:rsidRPr="00E17A79" w:rsidRDefault="00DE6798" w:rsidP="007F5475">
      <w:pPr>
        <w:pStyle w:val="Odstavecseseznamem"/>
        <w:numPr>
          <w:ilvl w:val="0"/>
          <w:numId w:val="2"/>
        </w:numPr>
        <w:spacing w:line="276" w:lineRule="auto"/>
        <w:jc w:val="both"/>
        <w:rPr>
          <w:bCs/>
          <w:iCs/>
        </w:rPr>
      </w:pPr>
      <w:r w:rsidRPr="00E17A79">
        <w:rPr>
          <w:bCs/>
          <w:iCs/>
        </w:rPr>
        <w:t xml:space="preserve">aktualizace interních směrnic upravujících činnosti jednotlivých hodnoticích úrovní v rámci interních předpisů včetně úpravy oblasti střetu zájmů; </w:t>
      </w:r>
    </w:p>
    <w:p w14:paraId="00A855A9" w14:textId="77777777" w:rsidR="00DE6798" w:rsidRPr="00E17A79" w:rsidRDefault="00DE6798" w:rsidP="007F5475">
      <w:pPr>
        <w:pStyle w:val="Odstavecseseznamem"/>
        <w:numPr>
          <w:ilvl w:val="0"/>
          <w:numId w:val="2"/>
        </w:numPr>
        <w:spacing w:line="276" w:lineRule="auto"/>
        <w:jc w:val="both"/>
        <w:rPr>
          <w:bCs/>
          <w:iCs/>
        </w:rPr>
      </w:pPr>
      <w:r w:rsidRPr="00E17A79">
        <w:rPr>
          <w:bCs/>
          <w:iCs/>
        </w:rPr>
        <w:t xml:space="preserve">stanovení komise pro přijímání návrhů projektů; </w:t>
      </w:r>
    </w:p>
    <w:p w14:paraId="54EAD7FC" w14:textId="77777777" w:rsidR="00DE6798" w:rsidRPr="00E17A79" w:rsidRDefault="00DE6798" w:rsidP="007F5475">
      <w:pPr>
        <w:pStyle w:val="Odstavecseseznamem"/>
        <w:numPr>
          <w:ilvl w:val="0"/>
          <w:numId w:val="2"/>
        </w:numPr>
        <w:spacing w:line="276" w:lineRule="auto"/>
        <w:jc w:val="both"/>
        <w:rPr>
          <w:bCs/>
          <w:iCs/>
        </w:rPr>
      </w:pPr>
      <w:r w:rsidRPr="00E17A79">
        <w:rPr>
          <w:bCs/>
          <w:iCs/>
        </w:rPr>
        <w:t xml:space="preserve">stanovení odborného poradního orgánu pro výběr projektů; </w:t>
      </w:r>
    </w:p>
    <w:p w14:paraId="506CC31A" w14:textId="77777777" w:rsidR="00DE6798" w:rsidRPr="00E17A79" w:rsidRDefault="00DE6798" w:rsidP="007F5475">
      <w:pPr>
        <w:pStyle w:val="Odstavecseseznamem"/>
        <w:numPr>
          <w:ilvl w:val="0"/>
          <w:numId w:val="2"/>
        </w:numPr>
        <w:spacing w:line="276" w:lineRule="auto"/>
        <w:jc w:val="both"/>
        <w:rPr>
          <w:bCs/>
          <w:iCs/>
        </w:rPr>
      </w:pPr>
      <w:r w:rsidRPr="00E17A79">
        <w:rPr>
          <w:bCs/>
          <w:iCs/>
        </w:rPr>
        <w:t>stanovení kritérií pro výběr hodnotitelů, aktualizace databáze hodnotitelů;</w:t>
      </w:r>
    </w:p>
    <w:p w14:paraId="7B9B1C01" w14:textId="6AA6E0E3" w:rsidR="00A47DFD" w:rsidRPr="00E42D87" w:rsidRDefault="00DE6798" w:rsidP="007F5475">
      <w:pPr>
        <w:pStyle w:val="Odstavecseseznamem"/>
        <w:numPr>
          <w:ilvl w:val="0"/>
          <w:numId w:val="2"/>
        </w:numPr>
        <w:spacing w:line="360" w:lineRule="auto"/>
        <w:jc w:val="both"/>
        <w:rPr>
          <w:bCs/>
          <w:iCs/>
        </w:rPr>
      </w:pPr>
      <w:r w:rsidRPr="00A47DFD">
        <w:rPr>
          <w:bCs/>
          <w:iCs/>
        </w:rPr>
        <w:t xml:space="preserve">zpracování zadávací dokumentace – pokynů </w:t>
      </w:r>
      <w:r w:rsidRPr="00E42D87">
        <w:rPr>
          <w:bCs/>
          <w:iCs/>
        </w:rPr>
        <w:t xml:space="preserve">pro </w:t>
      </w:r>
      <w:r w:rsidR="00A47DFD" w:rsidRPr="00796FCE">
        <w:rPr>
          <w:bCs/>
          <w:iCs/>
        </w:rPr>
        <w:t>uchazeče.</w:t>
      </w:r>
    </w:p>
    <w:p w14:paraId="35A943E0" w14:textId="4CFFBCC8" w:rsidR="00DE6798" w:rsidRPr="00E42D87" w:rsidRDefault="00DE6798" w:rsidP="006C418D">
      <w:pPr>
        <w:spacing w:line="276" w:lineRule="auto"/>
        <w:jc w:val="both"/>
        <w:rPr>
          <w:bCs/>
          <w:iCs/>
        </w:rPr>
      </w:pPr>
      <w:r w:rsidRPr="00E42D87">
        <w:rPr>
          <w:b/>
          <w:bCs/>
          <w:iCs/>
        </w:rPr>
        <w:t xml:space="preserve">Aktivity </w:t>
      </w:r>
      <w:r w:rsidR="00215738" w:rsidRPr="00E42D87">
        <w:rPr>
          <w:b/>
          <w:bCs/>
          <w:iCs/>
        </w:rPr>
        <w:t>spojené s</w:t>
      </w:r>
      <w:r w:rsidRPr="00E42D87">
        <w:rPr>
          <w:b/>
          <w:bCs/>
          <w:iCs/>
        </w:rPr>
        <w:t xml:space="preserve"> vyhlášení</w:t>
      </w:r>
      <w:r w:rsidR="00215738" w:rsidRPr="00E42D87">
        <w:rPr>
          <w:b/>
          <w:bCs/>
          <w:iCs/>
        </w:rPr>
        <w:t>m</w:t>
      </w:r>
      <w:r w:rsidRPr="00E42D87">
        <w:rPr>
          <w:b/>
          <w:bCs/>
          <w:iCs/>
        </w:rPr>
        <w:t xml:space="preserve"> veřejné soutěže</w:t>
      </w:r>
      <w:r w:rsidRPr="00E42D87">
        <w:rPr>
          <w:bCs/>
          <w:iCs/>
        </w:rPr>
        <w:t xml:space="preserve"> spočívají zejména v zajištění informovanosti o</w:t>
      </w:r>
      <w:r w:rsidR="00F101A3">
        <w:rPr>
          <w:bCs/>
          <w:iCs/>
        </w:rPr>
        <w:t> </w:t>
      </w:r>
      <w:r w:rsidRPr="00E42D87">
        <w:rPr>
          <w:bCs/>
          <w:iCs/>
        </w:rPr>
        <w:t>programu a veřejné soutěži. Shrnout je lze do následujících bodů</w:t>
      </w:r>
      <w:r w:rsidR="00796FCE">
        <w:rPr>
          <w:bCs/>
          <w:iCs/>
        </w:rPr>
        <w:t xml:space="preserve"> (dále viz kapitola 8)</w:t>
      </w:r>
      <w:r w:rsidRPr="00E42D87">
        <w:rPr>
          <w:bCs/>
          <w:iCs/>
        </w:rPr>
        <w:t xml:space="preserve">:  </w:t>
      </w:r>
    </w:p>
    <w:p w14:paraId="399DC92F" w14:textId="354F1E8D" w:rsidR="00DE6798" w:rsidRPr="0089472D" w:rsidRDefault="00DE6798" w:rsidP="007F5475">
      <w:pPr>
        <w:pStyle w:val="Odstavecseseznamem"/>
        <w:numPr>
          <w:ilvl w:val="0"/>
          <w:numId w:val="3"/>
        </w:numPr>
        <w:spacing w:line="276" w:lineRule="auto"/>
        <w:jc w:val="both"/>
        <w:rPr>
          <w:bCs/>
          <w:iCs/>
        </w:rPr>
      </w:pPr>
      <w:r w:rsidRPr="0089472D">
        <w:rPr>
          <w:bCs/>
          <w:iCs/>
        </w:rPr>
        <w:t>zveřejnění informací o veřejné soutěži na příslušných internetových stránkách poskytovatele</w:t>
      </w:r>
      <w:r w:rsidR="007757B8">
        <w:t>;</w:t>
      </w:r>
    </w:p>
    <w:p w14:paraId="753BDD9F" w14:textId="38D9233F" w:rsidR="00DE6798" w:rsidRPr="0037214D" w:rsidRDefault="00DE6798" w:rsidP="007F5475">
      <w:pPr>
        <w:pStyle w:val="Odstavecseseznamem"/>
        <w:numPr>
          <w:ilvl w:val="0"/>
          <w:numId w:val="3"/>
        </w:numPr>
        <w:spacing w:line="276" w:lineRule="auto"/>
        <w:jc w:val="both"/>
        <w:rPr>
          <w:bCs/>
          <w:iCs/>
        </w:rPr>
      </w:pPr>
      <w:r w:rsidRPr="0089472D">
        <w:rPr>
          <w:bCs/>
          <w:iCs/>
        </w:rPr>
        <w:t>uspořádání informačních seminářů</w:t>
      </w:r>
      <w:r>
        <w:rPr>
          <w:bCs/>
          <w:iCs/>
        </w:rPr>
        <w:t xml:space="preserve"> pro potenciální </w:t>
      </w:r>
      <w:r w:rsidR="002D63E1" w:rsidRPr="00796FCE">
        <w:rPr>
          <w:bCs/>
          <w:iCs/>
        </w:rPr>
        <w:t>uchazeč</w:t>
      </w:r>
      <w:r w:rsidR="004D5EEB">
        <w:rPr>
          <w:bCs/>
          <w:iCs/>
        </w:rPr>
        <w:t>e</w:t>
      </w:r>
      <w:r w:rsidR="002D63E1" w:rsidRPr="00796FCE">
        <w:rPr>
          <w:bCs/>
          <w:iCs/>
        </w:rPr>
        <w:t>;</w:t>
      </w:r>
    </w:p>
    <w:p w14:paraId="7F8C1B3D" w14:textId="610D6B8E" w:rsidR="00DE6798" w:rsidRPr="000913CA" w:rsidRDefault="00DE6798" w:rsidP="007F5475">
      <w:pPr>
        <w:pStyle w:val="Odstavecseseznamem"/>
        <w:numPr>
          <w:ilvl w:val="0"/>
          <w:numId w:val="3"/>
        </w:numPr>
        <w:spacing w:line="276" w:lineRule="auto"/>
        <w:jc w:val="both"/>
        <w:rPr>
          <w:bCs/>
          <w:iCs/>
          <w:sz w:val="24"/>
          <w:szCs w:val="24"/>
        </w:rPr>
      </w:pPr>
      <w:r w:rsidRPr="0089472D">
        <w:rPr>
          <w:bCs/>
          <w:iCs/>
        </w:rPr>
        <w:t>zajištění možností konzultací</w:t>
      </w:r>
      <w:r>
        <w:rPr>
          <w:bCs/>
          <w:iCs/>
        </w:rPr>
        <w:t xml:space="preserve"> potenciálních </w:t>
      </w:r>
      <w:r w:rsidR="002D63E1" w:rsidRPr="00796FCE">
        <w:rPr>
          <w:bCs/>
          <w:iCs/>
        </w:rPr>
        <w:t>uchazečů</w:t>
      </w:r>
      <w:r w:rsidR="002D63E1">
        <w:rPr>
          <w:bCs/>
          <w:iCs/>
        </w:rPr>
        <w:t xml:space="preserve"> </w:t>
      </w:r>
      <w:r>
        <w:rPr>
          <w:bCs/>
          <w:iCs/>
        </w:rPr>
        <w:t>s poskytovatelem</w:t>
      </w:r>
      <w:r w:rsidRPr="0089472D">
        <w:rPr>
          <w:bCs/>
          <w:iCs/>
        </w:rPr>
        <w:t xml:space="preserve">, případně </w:t>
      </w:r>
      <w:r>
        <w:rPr>
          <w:bCs/>
          <w:iCs/>
        </w:rPr>
        <w:t xml:space="preserve">nastavení </w:t>
      </w:r>
      <w:r w:rsidRPr="00286015">
        <w:rPr>
          <w:bCs/>
          <w:iCs/>
        </w:rPr>
        <w:t>FAQ k dané veřejné soutěži</w:t>
      </w:r>
      <w:r w:rsidRPr="000913CA">
        <w:rPr>
          <w:bCs/>
          <w:iCs/>
          <w:sz w:val="24"/>
          <w:szCs w:val="24"/>
        </w:rPr>
        <w:t>.</w:t>
      </w:r>
    </w:p>
    <w:p w14:paraId="020925FD" w14:textId="38530F8F" w:rsidR="0037214D" w:rsidRPr="000913CA" w:rsidRDefault="0006353A" w:rsidP="005F2A47">
      <w:pPr>
        <w:pStyle w:val="Nadpis3"/>
      </w:pPr>
      <w:bookmarkStart w:id="13" w:name="_Toc195063166"/>
      <w:bookmarkStart w:id="14" w:name="_Toc195087063"/>
      <w:bookmarkStart w:id="15" w:name="_Toc195184938"/>
      <w:r w:rsidRPr="000913CA">
        <w:t>P</w:t>
      </w:r>
      <w:r w:rsidR="00DE6798" w:rsidRPr="000913CA">
        <w:t>říprava veřejné soutěže</w:t>
      </w:r>
      <w:bookmarkEnd w:id="13"/>
      <w:bookmarkEnd w:id="14"/>
      <w:bookmarkEnd w:id="15"/>
    </w:p>
    <w:p w14:paraId="442DE0B9" w14:textId="77777777" w:rsidR="00755352" w:rsidRPr="00755352" w:rsidRDefault="00544D13" w:rsidP="006C418D">
      <w:pPr>
        <w:spacing w:before="240"/>
        <w:rPr>
          <w:b/>
        </w:rPr>
      </w:pPr>
      <w:r w:rsidRPr="00796FCE">
        <w:rPr>
          <w:b/>
          <w:color w:val="000000" w:themeColor="text1"/>
        </w:rPr>
        <w:t>N</w:t>
      </w:r>
      <w:r w:rsidR="00D22B33" w:rsidRPr="00796FCE">
        <w:rPr>
          <w:b/>
          <w:color w:val="000000" w:themeColor="text1"/>
        </w:rPr>
        <w:t xml:space="preserve">ávrh zaměření </w:t>
      </w:r>
      <w:r w:rsidR="00D22B33" w:rsidRPr="00755352">
        <w:rPr>
          <w:b/>
        </w:rPr>
        <w:t>veřejné soutěže</w:t>
      </w:r>
    </w:p>
    <w:p w14:paraId="2367699E" w14:textId="71F626E5" w:rsidR="0037214D" w:rsidRPr="0037214D" w:rsidRDefault="00544D13" w:rsidP="00755352">
      <w:pPr>
        <w:jc w:val="both"/>
      </w:pPr>
      <w:r w:rsidRPr="00FC0AAF">
        <w:t xml:space="preserve">Obsahové vymezení veřejné soutěže vychází jak z cílů a aktivit programu, tak také z vyhodnocení předchozí veřejné soutěže (pokud se nejedná o první veřejnou soutěž).  V závislosti na oborovém vymezení jednotlivých programů či veřejných soutěží může v některých případech mezi nimi docházet k potenciálním překryvům v podporovaných tématech či oborech. </w:t>
      </w:r>
      <w:r w:rsidRPr="0037214D">
        <w:t>Z těchto důvodů je vhodné, aby</w:t>
      </w:r>
      <w:r w:rsidR="00804D9A">
        <w:t> </w:t>
      </w:r>
      <w:r w:rsidRPr="0037214D">
        <w:t xml:space="preserve">zaměření veřejných soutěží bylo mezi poskytovateli koordinováno. </w:t>
      </w:r>
    </w:p>
    <w:p w14:paraId="53A11BB0" w14:textId="77777777" w:rsidR="00544D13" w:rsidRPr="00FC0AAF" w:rsidRDefault="00544D13" w:rsidP="00C77F9F">
      <w:pPr>
        <w:jc w:val="both"/>
        <w:rPr>
          <w:b/>
          <w:bCs/>
          <w:iCs/>
        </w:rPr>
      </w:pPr>
      <w:r w:rsidRPr="00FC0AAF">
        <w:rPr>
          <w:b/>
          <w:bCs/>
          <w:iCs/>
        </w:rPr>
        <w:t>Zadávací dokumentace k veřejné soutěži</w:t>
      </w:r>
    </w:p>
    <w:p w14:paraId="66B002B5" w14:textId="3A6333DB" w:rsidR="00544D13" w:rsidRPr="00FC0AAF" w:rsidRDefault="00544D13" w:rsidP="00C77F9F">
      <w:pPr>
        <w:jc w:val="both"/>
        <w:rPr>
          <w:bCs/>
          <w:iCs/>
        </w:rPr>
      </w:pPr>
      <w:r w:rsidRPr="00FC0AAF">
        <w:rPr>
          <w:bCs/>
          <w:iCs/>
        </w:rPr>
        <w:t xml:space="preserve">Zadávací dokumentace k veřejné soutěži představuje klíčový dokument </w:t>
      </w:r>
      <w:r w:rsidRPr="0037214D">
        <w:rPr>
          <w:bCs/>
          <w:iCs/>
        </w:rPr>
        <w:t>pr</w:t>
      </w:r>
      <w:r w:rsidR="002D63E1" w:rsidRPr="0037214D">
        <w:rPr>
          <w:bCs/>
          <w:iCs/>
        </w:rPr>
        <w:t xml:space="preserve">o </w:t>
      </w:r>
      <w:r w:rsidR="002D63E1" w:rsidRPr="00796FCE">
        <w:rPr>
          <w:bCs/>
          <w:iCs/>
        </w:rPr>
        <w:t>uchazeče</w:t>
      </w:r>
      <w:r w:rsidRPr="0037214D">
        <w:rPr>
          <w:bCs/>
          <w:iCs/>
        </w:rPr>
        <w:t xml:space="preserve"> při</w:t>
      </w:r>
      <w:r w:rsidRPr="00FC0AAF">
        <w:rPr>
          <w:bCs/>
          <w:iCs/>
        </w:rPr>
        <w:t xml:space="preserve"> přípravě i</w:t>
      </w:r>
      <w:r w:rsidR="00804D9A">
        <w:rPr>
          <w:bCs/>
          <w:iCs/>
        </w:rPr>
        <w:t> </w:t>
      </w:r>
      <w:r w:rsidRPr="00FC0AAF">
        <w:rPr>
          <w:bCs/>
          <w:iCs/>
        </w:rPr>
        <w:t>realizaci projekt</w:t>
      </w:r>
      <w:r w:rsidR="00404226">
        <w:rPr>
          <w:bCs/>
          <w:iCs/>
        </w:rPr>
        <w:t>ů</w:t>
      </w:r>
      <w:r w:rsidRPr="00FC0AAF">
        <w:rPr>
          <w:bCs/>
          <w:iCs/>
        </w:rPr>
        <w:t xml:space="preserve">, a proto musí být pro </w:t>
      </w:r>
      <w:r w:rsidR="002D63E1">
        <w:rPr>
          <w:bCs/>
          <w:iCs/>
        </w:rPr>
        <w:t xml:space="preserve">ně </w:t>
      </w:r>
      <w:r w:rsidRPr="00FC0AAF">
        <w:rPr>
          <w:bCs/>
          <w:iCs/>
        </w:rPr>
        <w:t>snadno uchopitelná. Při přípravě zadávací dokumentace k</w:t>
      </w:r>
      <w:r w:rsidR="00804D9A">
        <w:rPr>
          <w:bCs/>
          <w:iCs/>
        </w:rPr>
        <w:t> </w:t>
      </w:r>
      <w:r w:rsidRPr="00FC0AAF">
        <w:rPr>
          <w:bCs/>
          <w:iCs/>
        </w:rPr>
        <w:t xml:space="preserve">veřejné soutěži je žádoucí dodržovat následující podmínky, jejichž uplatnění může významně snížit </w:t>
      </w:r>
      <w:r w:rsidRPr="00FC0AAF">
        <w:rPr>
          <w:bCs/>
          <w:iCs/>
        </w:rPr>
        <w:lastRenderedPageBreak/>
        <w:t>chybovost projektových žádostí a tím také administrativní náročnost procesu hodnocení projektových žádostí:</w:t>
      </w:r>
    </w:p>
    <w:p w14:paraId="0964B672" w14:textId="77777777" w:rsidR="00544D13" w:rsidRPr="00FC0AAF" w:rsidRDefault="00544D13" w:rsidP="006C418D">
      <w:pPr>
        <w:spacing w:after="0"/>
        <w:ind w:left="360"/>
        <w:jc w:val="both"/>
        <w:rPr>
          <w:bCs/>
          <w:iCs/>
        </w:rPr>
      </w:pPr>
      <w:r>
        <w:rPr>
          <w:bCs/>
          <w:iCs/>
        </w:rPr>
        <w:t>•</w:t>
      </w:r>
      <w:r>
        <w:rPr>
          <w:bCs/>
          <w:iCs/>
        </w:rPr>
        <w:tab/>
        <w:t>s</w:t>
      </w:r>
      <w:r w:rsidRPr="00FC0AAF">
        <w:rPr>
          <w:bCs/>
          <w:iCs/>
        </w:rPr>
        <w:t>tručnost;</w:t>
      </w:r>
    </w:p>
    <w:p w14:paraId="77B7DAF9" w14:textId="77777777" w:rsidR="00544D13" w:rsidRPr="00FC0AAF" w:rsidRDefault="00544D13" w:rsidP="006C418D">
      <w:pPr>
        <w:spacing w:after="0"/>
        <w:ind w:left="360"/>
        <w:jc w:val="both"/>
        <w:rPr>
          <w:bCs/>
          <w:iCs/>
        </w:rPr>
      </w:pPr>
      <w:r>
        <w:rPr>
          <w:bCs/>
          <w:iCs/>
        </w:rPr>
        <w:t>•</w:t>
      </w:r>
      <w:r>
        <w:rPr>
          <w:bCs/>
          <w:iCs/>
        </w:rPr>
        <w:tab/>
        <w:t>p</w:t>
      </w:r>
      <w:r w:rsidRPr="00FC0AAF">
        <w:rPr>
          <w:bCs/>
          <w:iCs/>
        </w:rPr>
        <w:t>řehlednost;</w:t>
      </w:r>
    </w:p>
    <w:p w14:paraId="63587F10" w14:textId="77777777" w:rsidR="00544D13" w:rsidRPr="00FC0AAF" w:rsidRDefault="00544D13" w:rsidP="006C418D">
      <w:pPr>
        <w:spacing w:after="0"/>
        <w:ind w:left="360"/>
        <w:jc w:val="both"/>
        <w:rPr>
          <w:bCs/>
          <w:iCs/>
        </w:rPr>
      </w:pPr>
      <w:r>
        <w:rPr>
          <w:bCs/>
          <w:iCs/>
        </w:rPr>
        <w:t>•</w:t>
      </w:r>
      <w:r>
        <w:rPr>
          <w:bCs/>
          <w:iCs/>
        </w:rPr>
        <w:tab/>
        <w:t>s</w:t>
      </w:r>
      <w:r w:rsidRPr="00FC0AAF">
        <w:rPr>
          <w:bCs/>
          <w:iCs/>
        </w:rPr>
        <w:t>rozumitelnost;</w:t>
      </w:r>
    </w:p>
    <w:p w14:paraId="4AAFEDAF" w14:textId="03B264CB" w:rsidR="00544D13" w:rsidRPr="00FC0AAF" w:rsidRDefault="00544D13" w:rsidP="008B4031">
      <w:pPr>
        <w:ind w:left="360"/>
        <w:jc w:val="both"/>
        <w:rPr>
          <w:bCs/>
          <w:iCs/>
        </w:rPr>
      </w:pPr>
      <w:r>
        <w:rPr>
          <w:bCs/>
          <w:iCs/>
        </w:rPr>
        <w:t>•</w:t>
      </w:r>
      <w:r>
        <w:rPr>
          <w:bCs/>
          <w:iCs/>
        </w:rPr>
        <w:tab/>
        <w:t>j</w:t>
      </w:r>
      <w:r w:rsidRPr="00FC0AAF">
        <w:rPr>
          <w:bCs/>
          <w:iCs/>
        </w:rPr>
        <w:t xml:space="preserve">ednoznačnost. </w:t>
      </w:r>
    </w:p>
    <w:p w14:paraId="5A3E310F" w14:textId="77777777" w:rsidR="00544D13" w:rsidRPr="00FC0AAF" w:rsidRDefault="00544D13" w:rsidP="00C77F9F">
      <w:pPr>
        <w:jc w:val="both"/>
        <w:rPr>
          <w:bCs/>
          <w:iCs/>
        </w:rPr>
      </w:pPr>
      <w:r w:rsidRPr="00FC0AAF">
        <w:rPr>
          <w:bCs/>
          <w:iCs/>
        </w:rPr>
        <w:t>Dle stávající praxe poskytovatelů jsou aplikovány dva typy zadávací dokumentace, z nichž každý má své výhody a nevýhody:</w:t>
      </w:r>
    </w:p>
    <w:p w14:paraId="1EECE82A" w14:textId="7FD99EAD" w:rsidR="00544D13" w:rsidRPr="00FC0AAF" w:rsidRDefault="00544D13" w:rsidP="00C77F9F">
      <w:pPr>
        <w:jc w:val="both"/>
        <w:rPr>
          <w:bCs/>
          <w:iCs/>
        </w:rPr>
      </w:pPr>
      <w:r w:rsidRPr="00FC0AAF">
        <w:rPr>
          <w:b/>
          <w:bCs/>
          <w:iCs/>
        </w:rPr>
        <w:t>Úplná zadávací dokumentace</w:t>
      </w:r>
      <w:r w:rsidRPr="00FC0AAF">
        <w:rPr>
          <w:bCs/>
          <w:iCs/>
        </w:rPr>
        <w:t xml:space="preserve">, v níž jsou všechny </w:t>
      </w:r>
      <w:r w:rsidR="00803EEF">
        <w:rPr>
          <w:bCs/>
          <w:iCs/>
        </w:rPr>
        <w:t xml:space="preserve">věcné (odborné) </w:t>
      </w:r>
      <w:r w:rsidRPr="00FC0AAF">
        <w:rPr>
          <w:bCs/>
          <w:iCs/>
        </w:rPr>
        <w:t>informace</w:t>
      </w:r>
      <w:r w:rsidR="00803EEF">
        <w:rPr>
          <w:bCs/>
          <w:iCs/>
        </w:rPr>
        <w:t xml:space="preserve"> a dále podmínky všeobecné i specifické pro danou veřejnou soutěž</w:t>
      </w:r>
      <w:r w:rsidRPr="00FC0AAF">
        <w:rPr>
          <w:bCs/>
          <w:iCs/>
        </w:rPr>
        <w:t xml:space="preserve"> </w:t>
      </w:r>
      <w:r w:rsidR="00803EEF">
        <w:rPr>
          <w:bCs/>
          <w:iCs/>
        </w:rPr>
        <w:t xml:space="preserve">související s </w:t>
      </w:r>
      <w:r w:rsidRPr="00FC0AAF">
        <w:rPr>
          <w:bCs/>
          <w:iCs/>
        </w:rPr>
        <w:t>příprav</w:t>
      </w:r>
      <w:r w:rsidR="00803EEF">
        <w:rPr>
          <w:bCs/>
          <w:iCs/>
        </w:rPr>
        <w:t>ou</w:t>
      </w:r>
      <w:r w:rsidRPr="00FC0AAF">
        <w:rPr>
          <w:bCs/>
          <w:iCs/>
        </w:rPr>
        <w:t xml:space="preserve"> a realizac</w:t>
      </w:r>
      <w:r w:rsidR="00803EEF">
        <w:rPr>
          <w:bCs/>
          <w:iCs/>
        </w:rPr>
        <w:t>í</w:t>
      </w:r>
      <w:r w:rsidRPr="00FC0AAF">
        <w:rPr>
          <w:bCs/>
          <w:iCs/>
        </w:rPr>
        <w:t xml:space="preserve"> projektu uvedeny v jednom dokumentu. Výhoda tohoto typu zadávací dokumentace může spočívat v omezení nejistoty </w:t>
      </w:r>
      <w:r w:rsidR="002D63E1" w:rsidRPr="00796FCE">
        <w:rPr>
          <w:bCs/>
          <w:iCs/>
        </w:rPr>
        <w:t>uchaze</w:t>
      </w:r>
      <w:r w:rsidRPr="00796FCE">
        <w:rPr>
          <w:bCs/>
          <w:iCs/>
        </w:rPr>
        <w:t>č</w:t>
      </w:r>
      <w:r w:rsidR="002D63E1" w:rsidRPr="00796FCE">
        <w:rPr>
          <w:bCs/>
          <w:iCs/>
        </w:rPr>
        <w:t>ů</w:t>
      </w:r>
      <w:r w:rsidR="002D63E1" w:rsidRPr="0037214D">
        <w:rPr>
          <w:bCs/>
          <w:iCs/>
        </w:rPr>
        <w:t xml:space="preserve"> i</w:t>
      </w:r>
      <w:r w:rsidRPr="00FC0AAF">
        <w:rPr>
          <w:bCs/>
          <w:iCs/>
        </w:rPr>
        <w:t xml:space="preserve"> příjemců ohledně platné verze všeobecných podmínek. Nevýhodou může být horší </w:t>
      </w:r>
      <w:r w:rsidRPr="0037214D">
        <w:rPr>
          <w:bCs/>
          <w:iCs/>
        </w:rPr>
        <w:t xml:space="preserve">orientace </w:t>
      </w:r>
      <w:r w:rsidR="002D63E1" w:rsidRPr="00796FCE">
        <w:rPr>
          <w:bCs/>
          <w:iCs/>
        </w:rPr>
        <w:t>uchazečů</w:t>
      </w:r>
      <w:r w:rsidR="002D63E1" w:rsidRPr="0037214D">
        <w:rPr>
          <w:bCs/>
          <w:iCs/>
        </w:rPr>
        <w:t xml:space="preserve"> </w:t>
      </w:r>
      <w:r w:rsidRPr="0037214D">
        <w:rPr>
          <w:bCs/>
          <w:iCs/>
        </w:rPr>
        <w:t>v celém</w:t>
      </w:r>
      <w:r w:rsidRPr="00FC0AAF">
        <w:rPr>
          <w:bCs/>
          <w:iCs/>
        </w:rPr>
        <w:t xml:space="preserve"> dokumentu.  </w:t>
      </w:r>
    </w:p>
    <w:p w14:paraId="01935353" w14:textId="09FA2325" w:rsidR="00544D13" w:rsidRDefault="00544D13" w:rsidP="00C77F9F">
      <w:pPr>
        <w:jc w:val="both"/>
        <w:rPr>
          <w:bCs/>
          <w:iCs/>
        </w:rPr>
      </w:pPr>
      <w:r w:rsidRPr="00AE12C8">
        <w:rPr>
          <w:b/>
          <w:bCs/>
          <w:iCs/>
        </w:rPr>
        <w:t xml:space="preserve">Zadávací dokumentace </w:t>
      </w:r>
      <w:r w:rsidR="006C4870">
        <w:rPr>
          <w:b/>
          <w:bCs/>
          <w:iCs/>
        </w:rPr>
        <w:t xml:space="preserve">uváděná ve dvou samostatných dokumentech, což znamená, že v jednom dokumentu je uvedeno </w:t>
      </w:r>
      <w:r w:rsidRPr="00AE12C8">
        <w:rPr>
          <w:b/>
          <w:bCs/>
          <w:iCs/>
        </w:rPr>
        <w:t xml:space="preserve">věcné (odborné) zaměření </w:t>
      </w:r>
      <w:r w:rsidR="006C4870">
        <w:rPr>
          <w:b/>
          <w:bCs/>
          <w:iCs/>
        </w:rPr>
        <w:t xml:space="preserve">aktuální </w:t>
      </w:r>
      <w:r w:rsidRPr="00AE12C8">
        <w:rPr>
          <w:b/>
          <w:bCs/>
          <w:iCs/>
        </w:rPr>
        <w:t xml:space="preserve">veřejné soutěže a </w:t>
      </w:r>
      <w:r w:rsidR="006C4870">
        <w:rPr>
          <w:b/>
          <w:bCs/>
          <w:iCs/>
        </w:rPr>
        <w:t xml:space="preserve">ve druhém dokumentu </w:t>
      </w:r>
      <w:r w:rsidR="00AC76E8" w:rsidRPr="00AC76E8">
        <w:rPr>
          <w:b/>
          <w:bCs/>
          <w:iCs/>
        </w:rPr>
        <w:t>jsou pak</w:t>
      </w:r>
      <w:r w:rsidR="00AC76E8">
        <w:rPr>
          <w:b/>
          <w:bCs/>
          <w:iCs/>
        </w:rPr>
        <w:t xml:space="preserve"> </w:t>
      </w:r>
      <w:r w:rsidRPr="00AE12C8">
        <w:rPr>
          <w:b/>
          <w:bCs/>
          <w:iCs/>
        </w:rPr>
        <w:t>samostatné všeobecné podmínky,</w:t>
      </w:r>
      <w:r w:rsidRPr="00AE12C8">
        <w:rPr>
          <w:bCs/>
          <w:iCs/>
        </w:rPr>
        <w:t xml:space="preserve"> které mohou být platné pro více</w:t>
      </w:r>
      <w:r w:rsidR="004C17E1">
        <w:rPr>
          <w:bCs/>
          <w:iCs/>
        </w:rPr>
        <w:t xml:space="preserve"> veřejných soutěží či</w:t>
      </w:r>
      <w:r w:rsidR="00F101A3">
        <w:rPr>
          <w:bCs/>
          <w:iCs/>
        </w:rPr>
        <w:t> </w:t>
      </w:r>
      <w:r w:rsidRPr="00AE12C8">
        <w:rPr>
          <w:bCs/>
          <w:iCs/>
        </w:rPr>
        <w:t xml:space="preserve">programů. Výhodou tohoto typu může být větší přehlednost věcného </w:t>
      </w:r>
      <w:r w:rsidRPr="0037214D">
        <w:rPr>
          <w:bCs/>
          <w:iCs/>
        </w:rPr>
        <w:t xml:space="preserve">zaměření </w:t>
      </w:r>
      <w:r w:rsidR="002D63E1" w:rsidRPr="00796FCE">
        <w:rPr>
          <w:bCs/>
          <w:iCs/>
        </w:rPr>
        <w:t>veřejné soutěže</w:t>
      </w:r>
      <w:r w:rsidRPr="00AE12C8">
        <w:rPr>
          <w:bCs/>
          <w:iCs/>
        </w:rPr>
        <w:t>, neboť požadované informace jsou stručně a přehledně uvedeny na jednom místě. Nevýhodou může být potřeba vyhledávat požadované informace k administrativním, právním a ekonomickým otázkám v samostatném dokumentu</w:t>
      </w:r>
      <w:r w:rsidR="006C4870">
        <w:rPr>
          <w:bCs/>
          <w:iCs/>
        </w:rPr>
        <w:t>, s čímž může souviset i</w:t>
      </w:r>
      <w:r w:rsidR="0049741B">
        <w:rPr>
          <w:bCs/>
          <w:iCs/>
        </w:rPr>
        <w:t xml:space="preserve"> </w:t>
      </w:r>
      <w:r w:rsidRPr="00AE12C8">
        <w:rPr>
          <w:bCs/>
          <w:iCs/>
        </w:rPr>
        <w:t>nejistota ohledně platnosti aktuální verze.</w:t>
      </w:r>
    </w:p>
    <w:p w14:paraId="53A5D36A" w14:textId="5C22F7CA" w:rsidR="00E90BB0" w:rsidRDefault="00544D13" w:rsidP="00C77F9F">
      <w:pPr>
        <w:jc w:val="both"/>
        <w:rPr>
          <w:bCs/>
          <w:iCs/>
        </w:rPr>
      </w:pPr>
      <w:r w:rsidRPr="00AB6C95">
        <w:rPr>
          <w:bCs/>
          <w:iCs/>
        </w:rPr>
        <w:t xml:space="preserve">Vhodná varianta struktury zadávací dokumentace může spočívat v </w:t>
      </w:r>
      <w:r w:rsidRPr="00AB6C95">
        <w:rPr>
          <w:b/>
          <w:bCs/>
          <w:iCs/>
        </w:rPr>
        <w:t xml:space="preserve">kombinaci obou </w:t>
      </w:r>
      <w:r w:rsidR="0049741B">
        <w:rPr>
          <w:b/>
          <w:bCs/>
          <w:iCs/>
        </w:rPr>
        <w:t xml:space="preserve">výše uvedených </w:t>
      </w:r>
      <w:r w:rsidRPr="00AB6C95">
        <w:rPr>
          <w:b/>
          <w:bCs/>
          <w:iCs/>
        </w:rPr>
        <w:t>typů</w:t>
      </w:r>
      <w:r w:rsidRPr="00AB6C95">
        <w:rPr>
          <w:bCs/>
          <w:iCs/>
        </w:rPr>
        <w:t>, kdy je text věcného zaměření veřejné soutěže uveden v první části souborného dokumentu a</w:t>
      </w:r>
      <w:r w:rsidR="00F101A3">
        <w:rPr>
          <w:bCs/>
          <w:iCs/>
        </w:rPr>
        <w:t> </w:t>
      </w:r>
      <w:r w:rsidRPr="00AB6C95">
        <w:rPr>
          <w:bCs/>
          <w:iCs/>
        </w:rPr>
        <w:t xml:space="preserve">v druhé </w:t>
      </w:r>
      <w:r>
        <w:rPr>
          <w:bCs/>
          <w:iCs/>
        </w:rPr>
        <w:t>části je uvedena</w:t>
      </w:r>
      <w:r w:rsidRPr="00AB6C95">
        <w:rPr>
          <w:bCs/>
          <w:iCs/>
        </w:rPr>
        <w:t xml:space="preserve"> specificky zaměřená část stanovující </w:t>
      </w:r>
      <w:r w:rsidR="00F006CB">
        <w:rPr>
          <w:bCs/>
          <w:iCs/>
        </w:rPr>
        <w:t xml:space="preserve">především administrativní </w:t>
      </w:r>
      <w:r w:rsidRPr="00AB6C95">
        <w:rPr>
          <w:bCs/>
          <w:iCs/>
        </w:rPr>
        <w:t>podmínky přípravy a realizace projektů</w:t>
      </w:r>
      <w:r w:rsidR="004C17E1">
        <w:rPr>
          <w:bCs/>
          <w:iCs/>
        </w:rPr>
        <w:t xml:space="preserve"> příslušné veřejné soutěže</w:t>
      </w:r>
      <w:r w:rsidR="008B4031">
        <w:rPr>
          <w:bCs/>
          <w:iCs/>
        </w:rPr>
        <w:t>.</w:t>
      </w:r>
    </w:p>
    <w:p w14:paraId="0BF0563F" w14:textId="62B5D58F" w:rsidR="00544D13" w:rsidRDefault="004C17E1" w:rsidP="00C77F9F">
      <w:pPr>
        <w:jc w:val="both"/>
        <w:rPr>
          <w:bCs/>
          <w:iCs/>
        </w:rPr>
      </w:pPr>
      <w:r w:rsidRPr="00796FCE">
        <w:rPr>
          <w:bCs/>
          <w:iCs/>
        </w:rPr>
        <w:t xml:space="preserve">Poskytovatel však </w:t>
      </w:r>
      <w:r w:rsidR="00E90BB0" w:rsidRPr="00796FCE">
        <w:rPr>
          <w:bCs/>
          <w:iCs/>
        </w:rPr>
        <w:t xml:space="preserve">může </w:t>
      </w:r>
      <w:r w:rsidRPr="00796FCE">
        <w:rPr>
          <w:bCs/>
          <w:iCs/>
        </w:rPr>
        <w:t>vytvá</w:t>
      </w:r>
      <w:r w:rsidR="00E90BB0" w:rsidRPr="00796FCE">
        <w:rPr>
          <w:bCs/>
          <w:iCs/>
        </w:rPr>
        <w:t>řet</w:t>
      </w:r>
      <w:r w:rsidRPr="00796FCE">
        <w:rPr>
          <w:bCs/>
          <w:iCs/>
        </w:rPr>
        <w:t xml:space="preserve"> i samostatné</w:t>
      </w:r>
      <w:r w:rsidR="00E90BB0" w:rsidRPr="00796FCE">
        <w:rPr>
          <w:bCs/>
          <w:iCs/>
        </w:rPr>
        <w:t xml:space="preserve"> </w:t>
      </w:r>
      <w:r w:rsidRPr="00796FCE">
        <w:rPr>
          <w:bCs/>
          <w:iCs/>
        </w:rPr>
        <w:t xml:space="preserve">všeobecné </w:t>
      </w:r>
      <w:r w:rsidR="00E90BB0" w:rsidRPr="00796FCE">
        <w:rPr>
          <w:bCs/>
          <w:iCs/>
        </w:rPr>
        <w:t xml:space="preserve">podmínky </w:t>
      </w:r>
      <w:r w:rsidR="00F006CB" w:rsidRPr="00796FCE">
        <w:rPr>
          <w:bCs/>
          <w:iCs/>
        </w:rPr>
        <w:t>reali</w:t>
      </w:r>
      <w:r w:rsidR="00E90BB0" w:rsidRPr="00796FCE">
        <w:rPr>
          <w:bCs/>
          <w:iCs/>
        </w:rPr>
        <w:t>zac</w:t>
      </w:r>
      <w:r w:rsidR="00B22CAA" w:rsidRPr="00796FCE">
        <w:rPr>
          <w:bCs/>
          <w:iCs/>
        </w:rPr>
        <w:t>e</w:t>
      </w:r>
      <w:r w:rsidR="00E90BB0" w:rsidRPr="00796FCE">
        <w:rPr>
          <w:bCs/>
          <w:iCs/>
        </w:rPr>
        <w:t xml:space="preserve"> žádostí/projektů veřejné soutěže v rámci jednoho či více programů</w:t>
      </w:r>
      <w:r w:rsidR="00F006CB" w:rsidRPr="00796FCE">
        <w:rPr>
          <w:bCs/>
          <w:iCs/>
        </w:rPr>
        <w:t xml:space="preserve"> pro</w:t>
      </w:r>
      <w:r w:rsidRPr="00796FCE">
        <w:rPr>
          <w:bCs/>
          <w:iCs/>
        </w:rPr>
        <w:t xml:space="preserve"> období nejlépe 5 až 7 </w:t>
      </w:r>
      <w:r w:rsidR="00B22CAA" w:rsidRPr="00796FCE">
        <w:rPr>
          <w:bCs/>
          <w:iCs/>
        </w:rPr>
        <w:t>let.</w:t>
      </w:r>
      <w:r w:rsidRPr="00796FCE">
        <w:rPr>
          <w:bCs/>
          <w:iCs/>
        </w:rPr>
        <w:t xml:space="preserve"> Ty aktualizuje zejména v případě legislativních změn nebo kontrolních nálezů s dopadem do nastavení všeobecných podmínek</w:t>
      </w:r>
      <w:r w:rsidR="00803EEF" w:rsidRPr="00796FCE">
        <w:rPr>
          <w:bCs/>
          <w:iCs/>
        </w:rPr>
        <w:t>.</w:t>
      </w:r>
      <w:r>
        <w:rPr>
          <w:bCs/>
          <w:iCs/>
        </w:rPr>
        <w:t xml:space="preserve"> </w:t>
      </w:r>
    </w:p>
    <w:p w14:paraId="1E29601E" w14:textId="3F4A20CA" w:rsidR="00544D13" w:rsidRDefault="00544D13" w:rsidP="00C77F9F">
      <w:pPr>
        <w:jc w:val="both"/>
        <w:rPr>
          <w:bCs/>
          <w:iCs/>
        </w:rPr>
      </w:pPr>
      <w:r>
        <w:rPr>
          <w:bCs/>
          <w:iCs/>
        </w:rPr>
        <w:t>Ve všech uvedených typech zadávací dokumentace je žádoucí uvádět slovníček základních pojmů s jejich vysvětlením tak, aby na úrovni daného poskytovatele existoval jednotný výklad pro daný pojem.</w:t>
      </w:r>
    </w:p>
    <w:p w14:paraId="00BA4E8C" w14:textId="19D2C780" w:rsidR="00EC3050" w:rsidRPr="008B4031" w:rsidRDefault="00F72DF6" w:rsidP="008B4031">
      <w:pPr>
        <w:jc w:val="both"/>
      </w:pPr>
      <w:r w:rsidRPr="00796FCE">
        <w:t xml:space="preserve">Pro </w:t>
      </w:r>
      <w:r w:rsidR="00B22CAA" w:rsidRPr="00796FCE">
        <w:t>uchazeče</w:t>
      </w:r>
      <w:r w:rsidR="00B22CAA" w:rsidRPr="00B22CAA">
        <w:t xml:space="preserve"> </w:t>
      </w:r>
      <w:r w:rsidRPr="00B22CAA">
        <w:t>z různých programů</w:t>
      </w:r>
      <w:r w:rsidR="00B22CAA" w:rsidRPr="00B22CAA">
        <w:t>, resp. výzev</w:t>
      </w:r>
      <w:r w:rsidRPr="00B22CAA">
        <w:t xml:space="preserve"> různých poskytovatelů může být matoucí absence jednotného výkladu nejen jednotlivých pojmů, např. uznatelných nákladů, ale celých právních předpisů, které musí poskytovatelé respektovat, které jsou uvedeny v zadávací dokumentaci</w:t>
      </w:r>
      <w:r w:rsidR="00912E85" w:rsidRPr="00B22CAA">
        <w:t>,</w:t>
      </w:r>
      <w:r w:rsidRPr="00B22CAA">
        <w:t xml:space="preserve"> či se na ně zadávací dokumentace odvolává. To zvyšuje nejistotu a může přispívat k vyšší chybovosti </w:t>
      </w:r>
      <w:r w:rsidR="00B22CAA" w:rsidRPr="00796FCE">
        <w:t>uchazečů/příjemců</w:t>
      </w:r>
      <w:r w:rsidRPr="0037214D">
        <w:t xml:space="preserve"> při přípravě a realizaci projektů a vyšší administrativní zátěži. Proto je žádoucí na úrovni KMP v gesci ÚV</w:t>
      </w:r>
      <w:r w:rsidRPr="001C431F">
        <w:t xml:space="preserve">-SVVI, aby </w:t>
      </w:r>
      <w:r w:rsidR="002C472B">
        <w:t xml:space="preserve">byl </w:t>
      </w:r>
      <w:r w:rsidRPr="001C431F">
        <w:t>vytvoř</w:t>
      </w:r>
      <w:r w:rsidR="002C472B">
        <w:t>en</w:t>
      </w:r>
      <w:r w:rsidRPr="001C431F">
        <w:t xml:space="preserve"> jednotn</w:t>
      </w:r>
      <w:r w:rsidR="002C472B">
        <w:t>ý</w:t>
      </w:r>
      <w:r w:rsidRPr="001C431F">
        <w:t xml:space="preserve"> výklad nejčastěji užívaných pojmů a </w:t>
      </w:r>
      <w:r w:rsidR="002C472B">
        <w:t xml:space="preserve">došlo k co možná největšímu </w:t>
      </w:r>
      <w:r w:rsidRPr="001C431F">
        <w:t>sjedno</w:t>
      </w:r>
      <w:r w:rsidR="002C472B">
        <w:t>cení</w:t>
      </w:r>
      <w:r w:rsidRPr="001C431F">
        <w:t xml:space="preserve"> všeobecn</w:t>
      </w:r>
      <w:r w:rsidR="002C472B">
        <w:t xml:space="preserve">ých </w:t>
      </w:r>
      <w:r w:rsidRPr="001C431F">
        <w:t>podmín</w:t>
      </w:r>
      <w:r w:rsidR="002C472B">
        <w:t>ek</w:t>
      </w:r>
      <w:r w:rsidRPr="001C431F">
        <w:t xml:space="preserve"> programů, které by následně usnadnily poskytovatelům i příjemcům jejich činnost</w:t>
      </w:r>
      <w:r w:rsidR="00755352">
        <w:t xml:space="preserve"> </w:t>
      </w:r>
      <w:r w:rsidR="001C431F" w:rsidRPr="00755352">
        <w:t xml:space="preserve">(viz </w:t>
      </w:r>
      <w:r w:rsidR="00755352" w:rsidRPr="00755352">
        <w:t xml:space="preserve">Příloha </w:t>
      </w:r>
      <w:r w:rsidR="00B36F4B">
        <w:t>10</w:t>
      </w:r>
      <w:r w:rsidR="00755352" w:rsidRPr="00755352">
        <w:t>.3)</w:t>
      </w:r>
      <w:r w:rsidR="001C431F" w:rsidRPr="00755352">
        <w:t>.</w:t>
      </w:r>
    </w:p>
    <w:p w14:paraId="195C320B" w14:textId="77777777" w:rsidR="000913CA" w:rsidRPr="00410CFA" w:rsidRDefault="000913CA" w:rsidP="00292167">
      <w:pPr>
        <w:rPr>
          <w:bCs/>
          <w:iCs/>
        </w:rPr>
      </w:pPr>
    </w:p>
    <w:p w14:paraId="34CAC2FF" w14:textId="5C5B880E" w:rsidR="00E16608" w:rsidRPr="00936DF6" w:rsidRDefault="00E16608" w:rsidP="0077493A">
      <w:pPr>
        <w:pStyle w:val="Nadpis2"/>
        <w:spacing w:after="240"/>
        <w:rPr>
          <w:rFonts w:cstheme="minorHAnsi"/>
          <w:szCs w:val="28"/>
        </w:rPr>
      </w:pPr>
      <w:bookmarkStart w:id="16" w:name="_Toc195184939"/>
      <w:r w:rsidRPr="00936DF6">
        <w:rPr>
          <w:rFonts w:cstheme="minorHAnsi"/>
          <w:szCs w:val="28"/>
        </w:rPr>
        <w:lastRenderedPageBreak/>
        <w:t>Vyhlášení veřejné soutěže</w:t>
      </w:r>
      <w:bookmarkEnd w:id="16"/>
    </w:p>
    <w:p w14:paraId="23823739" w14:textId="77777777" w:rsidR="00470BE0" w:rsidRPr="00792048" w:rsidRDefault="00470BE0" w:rsidP="006A2AF9">
      <w:pPr>
        <w:pStyle w:val="Nadpis3"/>
      </w:pPr>
      <w:bookmarkStart w:id="17" w:name="_Toc195063168"/>
      <w:bookmarkStart w:id="18" w:name="_Toc195087065"/>
      <w:bookmarkStart w:id="19" w:name="_Toc195184940"/>
      <w:r w:rsidRPr="00792048">
        <w:t>Lhůty pro podávání a hodnocení návrhů projektů</w:t>
      </w:r>
      <w:bookmarkEnd w:id="17"/>
      <w:bookmarkEnd w:id="18"/>
      <w:bookmarkEnd w:id="19"/>
      <w:r w:rsidRPr="00792048">
        <w:t xml:space="preserve"> </w:t>
      </w:r>
    </w:p>
    <w:p w14:paraId="558D514F" w14:textId="7A207642" w:rsidR="00470BE0" w:rsidRDefault="00470BE0" w:rsidP="00C77F9F">
      <w:pPr>
        <w:jc w:val="both"/>
        <w:rPr>
          <w:bCs/>
          <w:iCs/>
        </w:rPr>
      </w:pPr>
      <w:r w:rsidRPr="00BF6EF1">
        <w:rPr>
          <w:bCs/>
          <w:iCs/>
        </w:rPr>
        <w:t>Délka</w:t>
      </w:r>
      <w:r>
        <w:rPr>
          <w:b/>
          <w:bCs/>
          <w:iCs/>
        </w:rPr>
        <w:t xml:space="preserve"> soutěžní lhůty</w:t>
      </w:r>
      <w:r w:rsidRPr="00B961B2">
        <w:rPr>
          <w:b/>
          <w:bCs/>
          <w:iCs/>
        </w:rPr>
        <w:t xml:space="preserve"> </w:t>
      </w:r>
      <w:r w:rsidRPr="00DC4CE3">
        <w:rPr>
          <w:bCs/>
          <w:iCs/>
        </w:rPr>
        <w:t>veřejné soutěže</w:t>
      </w:r>
      <w:r w:rsidRPr="00B961B2">
        <w:rPr>
          <w:bCs/>
          <w:iCs/>
        </w:rPr>
        <w:t xml:space="preserve"> (doba pro příjem projektových žádostí) by měla zohlednit zaměření programu a předpokládanou náročnost přípravy projektové žádosti. U komplexněji zaměřených programů a projektů by měla být delší, </w:t>
      </w:r>
      <w:r w:rsidRPr="005F2A47">
        <w:rPr>
          <w:bCs/>
          <w:iCs/>
        </w:rPr>
        <w:t xml:space="preserve">aby </w:t>
      </w:r>
      <w:r w:rsidR="00236A7C" w:rsidRPr="00796FCE">
        <w:rPr>
          <w:bCs/>
          <w:iCs/>
        </w:rPr>
        <w:t xml:space="preserve">uchazeči </w:t>
      </w:r>
      <w:r w:rsidRPr="00796FCE">
        <w:rPr>
          <w:bCs/>
          <w:iCs/>
        </w:rPr>
        <w:t>m</w:t>
      </w:r>
      <w:r w:rsidRPr="005F2A47">
        <w:rPr>
          <w:bCs/>
          <w:iCs/>
        </w:rPr>
        <w:t>ěli dostatek</w:t>
      </w:r>
      <w:r w:rsidRPr="00B961B2">
        <w:rPr>
          <w:bCs/>
          <w:iCs/>
        </w:rPr>
        <w:t xml:space="preserve"> času připravit kvalitní projekt včetně případného sestavení projektového konsorcia. Naopak u veřejných soutěží cílících spíše na menší a jednodušší projekty může být tato doba kratší, vždy však v souladu s minimální délkou soutěžní lh</w:t>
      </w:r>
      <w:r w:rsidR="00124104">
        <w:rPr>
          <w:bCs/>
          <w:iCs/>
        </w:rPr>
        <w:t xml:space="preserve">ůty dle </w:t>
      </w:r>
      <w:r w:rsidR="00D70CF5">
        <w:rPr>
          <w:bCs/>
          <w:iCs/>
        </w:rPr>
        <w:t xml:space="preserve">hlavy V </w:t>
      </w:r>
      <w:r w:rsidR="00124104">
        <w:rPr>
          <w:bCs/>
          <w:iCs/>
        </w:rPr>
        <w:t xml:space="preserve">§ 20 odst. 1 </w:t>
      </w:r>
      <w:r w:rsidR="00D70CF5">
        <w:rPr>
          <w:bCs/>
          <w:iCs/>
        </w:rPr>
        <w:t>z</w:t>
      </w:r>
      <w:r w:rsidRPr="00B961B2">
        <w:rPr>
          <w:bCs/>
          <w:iCs/>
        </w:rPr>
        <w:t xml:space="preserve">ákona č. 130/2002 Sb. (tj. nejméně 43 kalendářních dnů v případě jednostupňové soutěže a 36 kalendářních dnů v případně dvoustupňové veřejné soutěže).   </w:t>
      </w:r>
    </w:p>
    <w:p w14:paraId="6779ACCA" w14:textId="1F29C00F" w:rsidR="001C5008" w:rsidRDefault="00470BE0" w:rsidP="00D631FB">
      <w:pPr>
        <w:jc w:val="both"/>
        <w:rPr>
          <w:bCs/>
          <w:iCs/>
        </w:rPr>
      </w:pPr>
      <w:r>
        <w:rPr>
          <w:b/>
          <w:bCs/>
          <w:iCs/>
        </w:rPr>
        <w:t>Hodnot</w:t>
      </w:r>
      <w:r w:rsidR="00C458D4">
        <w:rPr>
          <w:b/>
          <w:bCs/>
          <w:iCs/>
        </w:rPr>
        <w:t>i</w:t>
      </w:r>
      <w:r>
        <w:rPr>
          <w:b/>
          <w:bCs/>
          <w:iCs/>
        </w:rPr>
        <w:t xml:space="preserve">cí lhůta </w:t>
      </w:r>
      <w:r w:rsidRPr="00DC4CE3">
        <w:rPr>
          <w:bCs/>
          <w:iCs/>
        </w:rPr>
        <w:t>veřejné soutěže, tj. doba, po kterou poskytovatel zajistí vyhodnocení návrhů proj</w:t>
      </w:r>
      <w:r w:rsidR="008B4031">
        <w:rPr>
          <w:bCs/>
          <w:iCs/>
        </w:rPr>
        <w:t xml:space="preserve">ektů </w:t>
      </w:r>
      <w:r>
        <w:rPr>
          <w:bCs/>
          <w:iCs/>
        </w:rPr>
        <w:t xml:space="preserve">a vyhlásí výsledky veřejné soutěže, je dána dle </w:t>
      </w:r>
      <w:r w:rsidR="00D70CF5">
        <w:rPr>
          <w:bCs/>
          <w:iCs/>
        </w:rPr>
        <w:t xml:space="preserve">hlavy V </w:t>
      </w:r>
      <w:r>
        <w:rPr>
          <w:bCs/>
          <w:iCs/>
        </w:rPr>
        <w:t>§ 20 odst. 2</w:t>
      </w:r>
      <w:r w:rsidR="00124104">
        <w:rPr>
          <w:bCs/>
          <w:iCs/>
        </w:rPr>
        <w:t xml:space="preserve"> </w:t>
      </w:r>
      <w:r w:rsidR="00D70CF5">
        <w:rPr>
          <w:bCs/>
          <w:iCs/>
        </w:rPr>
        <w:t>z</w:t>
      </w:r>
      <w:r w:rsidRPr="00DC4CE3">
        <w:rPr>
          <w:bCs/>
          <w:iCs/>
        </w:rPr>
        <w:t>ákona č. 130/2002 Sb.</w:t>
      </w:r>
      <w:r>
        <w:rPr>
          <w:bCs/>
          <w:iCs/>
        </w:rPr>
        <w:t xml:space="preserve"> jako maximální lhůta (maximálně 240 kalendářních dnů). Délka této lhůty závisí na náročnosti hodnocení návrhů projektů, a tudíž u jednodušších projektů lze předpokládat kratší lhůty. Informace týkající se hodnot</w:t>
      </w:r>
      <w:r w:rsidR="00C458D4">
        <w:rPr>
          <w:bCs/>
          <w:iCs/>
        </w:rPr>
        <w:t>i</w:t>
      </w:r>
      <w:r>
        <w:rPr>
          <w:bCs/>
          <w:iCs/>
        </w:rPr>
        <w:t xml:space="preserve">cí lhůty je velmi podstatnou informací </w:t>
      </w:r>
      <w:r w:rsidRPr="005F2A47">
        <w:rPr>
          <w:bCs/>
          <w:iCs/>
        </w:rPr>
        <w:t xml:space="preserve">pro </w:t>
      </w:r>
      <w:r w:rsidR="00411095" w:rsidRPr="00796FCE">
        <w:rPr>
          <w:bCs/>
          <w:iCs/>
        </w:rPr>
        <w:t>uchazeče</w:t>
      </w:r>
      <w:r w:rsidRPr="00796FCE">
        <w:rPr>
          <w:bCs/>
          <w:iCs/>
        </w:rPr>
        <w:t>,</w:t>
      </w:r>
      <w:r w:rsidRPr="005F2A47">
        <w:rPr>
          <w:bCs/>
          <w:iCs/>
        </w:rPr>
        <w:t xml:space="preserve"> kteří</w:t>
      </w:r>
      <w:r>
        <w:rPr>
          <w:bCs/>
          <w:iCs/>
        </w:rPr>
        <w:t xml:space="preserve"> si v souladu s tím rozvrhují činnosti naplánované v návrhu projektu (personální zajištění, dostupnost laboratoří, pracovní výjezdy, plánované semináře či konfere</w:t>
      </w:r>
      <w:r w:rsidR="001C5008">
        <w:rPr>
          <w:bCs/>
          <w:iCs/>
        </w:rPr>
        <w:t>nce, finanční spoluúčast atd.).</w:t>
      </w:r>
    </w:p>
    <w:p w14:paraId="11ACB82F" w14:textId="77777777" w:rsidR="00936DF6" w:rsidRPr="00D631FB" w:rsidRDefault="00936DF6" w:rsidP="00D631FB">
      <w:pPr>
        <w:jc w:val="both"/>
        <w:rPr>
          <w:bCs/>
          <w:iCs/>
        </w:rPr>
      </w:pPr>
    </w:p>
    <w:p w14:paraId="7A3126F4" w14:textId="0E387C2A" w:rsidR="008B4031" w:rsidRPr="008B4031" w:rsidRDefault="00E16608" w:rsidP="008B4031">
      <w:pPr>
        <w:pStyle w:val="Nadpis2"/>
      </w:pPr>
      <w:bookmarkStart w:id="20" w:name="_Toc195184941"/>
      <w:r>
        <w:t>Struktura projektové žádosti</w:t>
      </w:r>
      <w:bookmarkEnd w:id="20"/>
    </w:p>
    <w:p w14:paraId="5667571D" w14:textId="344B262A" w:rsidR="00410CFA" w:rsidRPr="009A29BF" w:rsidRDefault="00410CFA" w:rsidP="00C77F9F">
      <w:pPr>
        <w:jc w:val="both"/>
        <w:rPr>
          <w:bCs/>
          <w:iCs/>
        </w:rPr>
      </w:pPr>
      <w:r w:rsidRPr="009A29BF">
        <w:rPr>
          <w:bCs/>
          <w:iCs/>
        </w:rPr>
        <w:t>Základem pro úspěšnost veřejné soutěže je přehledná a srozumitelná projektová žádost</w:t>
      </w:r>
      <w:r w:rsidR="00F101A3">
        <w:rPr>
          <w:bCs/>
          <w:iCs/>
        </w:rPr>
        <w:t xml:space="preserve"> </w:t>
      </w:r>
      <w:r w:rsidR="00F101A3" w:rsidRPr="00F101A3">
        <w:rPr>
          <w:bCs/>
          <w:iCs/>
        </w:rPr>
        <w:t>v elektronické podobě</w:t>
      </w:r>
      <w:r w:rsidRPr="009A29BF">
        <w:rPr>
          <w:bCs/>
          <w:iCs/>
        </w:rPr>
        <w:t>, která je v souladu se zadáv</w:t>
      </w:r>
      <w:r w:rsidR="001C5008">
        <w:rPr>
          <w:bCs/>
          <w:iCs/>
        </w:rPr>
        <w:t>ací dokumentací veřejné soutěže</w:t>
      </w:r>
      <w:r w:rsidRPr="009A29BF">
        <w:rPr>
          <w:bCs/>
          <w:iCs/>
        </w:rPr>
        <w:t xml:space="preserve"> a neobsahující multiplicitní položky. U žádosti platí základní pravidla jako u zadávací dokumentace, tj. stručnost, přehlednost, srozumitelnost a jednoznačnost. Zároveň zde platí vzájemný soulad mezi zadávací dokumentací, kritérii hodnocení žádostí a </w:t>
      </w:r>
      <w:r w:rsidR="001270E3">
        <w:rPr>
          <w:bCs/>
          <w:iCs/>
        </w:rPr>
        <w:t>projektovou žádostí</w:t>
      </w:r>
      <w:r w:rsidR="00F101A3">
        <w:rPr>
          <w:bCs/>
          <w:iCs/>
        </w:rPr>
        <w:t xml:space="preserve"> </w:t>
      </w:r>
      <w:r w:rsidR="00F101A3" w:rsidRPr="00F101A3">
        <w:rPr>
          <w:bCs/>
          <w:iCs/>
        </w:rPr>
        <w:t>v elektronické podobě</w:t>
      </w:r>
      <w:r w:rsidR="001270E3">
        <w:rPr>
          <w:bCs/>
          <w:iCs/>
        </w:rPr>
        <w:t xml:space="preserve">. Dodržením </w:t>
      </w:r>
      <w:r w:rsidRPr="009A29BF">
        <w:rPr>
          <w:bCs/>
          <w:iCs/>
        </w:rPr>
        <w:t xml:space="preserve">uvedených zásad lze významně snížit </w:t>
      </w:r>
      <w:r w:rsidRPr="005F2A47">
        <w:rPr>
          <w:bCs/>
          <w:iCs/>
        </w:rPr>
        <w:t xml:space="preserve">neúspěšnost </w:t>
      </w:r>
      <w:r w:rsidR="00440911" w:rsidRPr="00796FCE">
        <w:rPr>
          <w:bCs/>
          <w:iCs/>
        </w:rPr>
        <w:t>uchazečů</w:t>
      </w:r>
      <w:r w:rsidR="00440911" w:rsidRPr="005F2A47">
        <w:rPr>
          <w:bCs/>
          <w:iCs/>
        </w:rPr>
        <w:t xml:space="preserve"> </w:t>
      </w:r>
      <w:r w:rsidRPr="005F2A47">
        <w:rPr>
          <w:bCs/>
          <w:iCs/>
        </w:rPr>
        <w:t>a zároveň</w:t>
      </w:r>
      <w:r w:rsidRPr="009A29BF">
        <w:rPr>
          <w:bCs/>
          <w:iCs/>
        </w:rPr>
        <w:t xml:space="preserve"> usnadnit práci hodnotitelům projektových žádostí zejména z pohledu nedostatečné přehlednosti a jednoznačnosti údajů uváděných v projektových žádostech.</w:t>
      </w:r>
    </w:p>
    <w:p w14:paraId="5585E8B9" w14:textId="77777777" w:rsidR="00410CFA" w:rsidRPr="009A29BF" w:rsidRDefault="00410CFA" w:rsidP="008B4031">
      <w:pPr>
        <w:jc w:val="both"/>
        <w:rPr>
          <w:bCs/>
          <w:iCs/>
        </w:rPr>
      </w:pPr>
      <w:r w:rsidRPr="009A29BF">
        <w:rPr>
          <w:bCs/>
          <w:iCs/>
        </w:rPr>
        <w:t xml:space="preserve">Projektové žádosti mohou být strukturovány dle základních kritérií – složení řešitelského týmu, způsob řešení (metodický postup), uplatnění výsledku, finanční náročnost projektu. </w:t>
      </w:r>
    </w:p>
    <w:p w14:paraId="543881EE" w14:textId="77777777" w:rsidR="008B4031" w:rsidRDefault="00410CFA" w:rsidP="000470B1">
      <w:pPr>
        <w:jc w:val="both"/>
        <w:rPr>
          <w:bCs/>
          <w:iCs/>
        </w:rPr>
      </w:pPr>
      <w:r w:rsidRPr="008B4031">
        <w:rPr>
          <w:b/>
          <w:bCs/>
          <w:iCs/>
        </w:rPr>
        <w:t xml:space="preserve">Inspirací </w:t>
      </w:r>
      <w:r w:rsidRPr="00286015">
        <w:rPr>
          <w:b/>
          <w:iCs/>
        </w:rPr>
        <w:t>pro strukturu projektové žádosti může být projektová žádost v rámcových programech EU, která sestává ze dvou částí – administrativní informace o projektu a žadatelích a technické přílohy.</w:t>
      </w:r>
    </w:p>
    <w:p w14:paraId="4746FFCC" w14:textId="2AF3EA61" w:rsidR="00410CFA" w:rsidRDefault="007800A6" w:rsidP="000470B1">
      <w:pPr>
        <w:jc w:val="both"/>
        <w:rPr>
          <w:bCs/>
          <w:iCs/>
        </w:rPr>
      </w:pPr>
      <w:r>
        <w:rPr>
          <w:bCs/>
          <w:iCs/>
        </w:rPr>
        <w:t xml:space="preserve">Zcela zřejmé je, že i v případě rámcových programů EU </w:t>
      </w:r>
      <w:r w:rsidR="00497BDD">
        <w:rPr>
          <w:bCs/>
          <w:iCs/>
        </w:rPr>
        <w:t xml:space="preserve">není vše ideální a že i zde </w:t>
      </w:r>
      <w:r>
        <w:rPr>
          <w:bCs/>
          <w:iCs/>
        </w:rPr>
        <w:t xml:space="preserve">dochází ke změnám na základě zkušeností z praxe </w:t>
      </w:r>
      <w:r w:rsidR="00497BDD">
        <w:rPr>
          <w:bCs/>
          <w:iCs/>
        </w:rPr>
        <w:t xml:space="preserve">(aktuální informace lze nalézt např. na </w:t>
      </w:r>
      <w:r w:rsidR="00497BDD" w:rsidRPr="00497BDD">
        <w:rPr>
          <w:bCs/>
          <w:iCs/>
        </w:rPr>
        <w:t>https://www.horizontevropa.cz/cs</w:t>
      </w:r>
      <w:r w:rsidR="00497BDD">
        <w:rPr>
          <w:bCs/>
          <w:iCs/>
        </w:rPr>
        <w:t>).</w:t>
      </w:r>
      <w:r>
        <w:rPr>
          <w:bCs/>
          <w:iCs/>
        </w:rPr>
        <w:t xml:space="preserve"> Zároveň</w:t>
      </w:r>
      <w:r w:rsidR="00C232EB">
        <w:rPr>
          <w:bCs/>
          <w:iCs/>
        </w:rPr>
        <w:t xml:space="preserve"> při využívání těchto modelů je nutné zohlednit i</w:t>
      </w:r>
      <w:r w:rsidR="00F101A3">
        <w:rPr>
          <w:bCs/>
          <w:iCs/>
        </w:rPr>
        <w:t> </w:t>
      </w:r>
      <w:r w:rsidR="00C232EB">
        <w:rPr>
          <w:bCs/>
          <w:iCs/>
        </w:rPr>
        <w:t>legislativní prostředí v ČR.</w:t>
      </w:r>
      <w:r>
        <w:rPr>
          <w:bCs/>
          <w:iCs/>
        </w:rPr>
        <w:t xml:space="preserve"> </w:t>
      </w:r>
    </w:p>
    <w:p w14:paraId="4EAEC5BC" w14:textId="1353B735" w:rsidR="0077493A" w:rsidRDefault="0077493A">
      <w:pPr>
        <w:rPr>
          <w:bCs/>
          <w:iCs/>
        </w:rPr>
      </w:pPr>
      <w:r>
        <w:rPr>
          <w:bCs/>
          <w:iCs/>
        </w:rPr>
        <w:br w:type="page"/>
      </w:r>
    </w:p>
    <w:p w14:paraId="0DA836D0" w14:textId="77777777" w:rsidR="000470B1" w:rsidRPr="006A2AF9" w:rsidRDefault="000470B1" w:rsidP="000470B1">
      <w:pPr>
        <w:jc w:val="both"/>
        <w:rPr>
          <w:bCs/>
          <w:iCs/>
        </w:rPr>
      </w:pPr>
    </w:p>
    <w:p w14:paraId="4D421EEF" w14:textId="367A572F" w:rsidR="00410CFA" w:rsidRPr="004A00DF" w:rsidRDefault="00410CFA" w:rsidP="00C77F9F">
      <w:pPr>
        <w:ind w:left="360"/>
        <w:jc w:val="both"/>
        <w:rPr>
          <w:b/>
          <w:bCs/>
          <w:iCs/>
        </w:rPr>
      </w:pPr>
      <w:r w:rsidRPr="004A00DF">
        <w:rPr>
          <w:b/>
          <w:bCs/>
          <w:iCs/>
        </w:rPr>
        <w:t>Projektová žádost v rámcových programech EU</w:t>
      </w:r>
      <w:r w:rsidR="004A00DF" w:rsidRPr="004A00DF">
        <w:rPr>
          <w:rStyle w:val="Znakapoznpodarou"/>
          <w:b/>
          <w:bCs/>
          <w:iCs/>
        </w:rPr>
        <w:footnoteReference w:id="3"/>
      </w:r>
    </w:p>
    <w:p w14:paraId="7714BCC3" w14:textId="08C29C3C" w:rsidR="004A00DF" w:rsidRPr="00796FCE" w:rsidRDefault="00410CFA" w:rsidP="007F5475">
      <w:pPr>
        <w:pStyle w:val="Odstavecseseznamem"/>
        <w:numPr>
          <w:ilvl w:val="0"/>
          <w:numId w:val="4"/>
        </w:numPr>
        <w:jc w:val="both"/>
        <w:rPr>
          <w:bCs/>
          <w:i/>
        </w:rPr>
      </w:pPr>
      <w:r w:rsidRPr="00796FCE">
        <w:rPr>
          <w:b/>
          <w:bCs/>
          <w:i/>
        </w:rPr>
        <w:t>Část A</w:t>
      </w:r>
      <w:r w:rsidRPr="00796FCE">
        <w:rPr>
          <w:bCs/>
          <w:i/>
        </w:rPr>
        <w:t xml:space="preserve"> je generována informačním systémem na základě informací vložených uchazečem. </w:t>
      </w:r>
    </w:p>
    <w:p w14:paraId="7CA99455" w14:textId="77F46D5F" w:rsidR="00410CFA" w:rsidRPr="00796FCE" w:rsidRDefault="00410CFA" w:rsidP="00C77F9F">
      <w:pPr>
        <w:pStyle w:val="Odstavecseseznamem"/>
        <w:ind w:left="1080"/>
        <w:jc w:val="both"/>
        <w:rPr>
          <w:bCs/>
          <w:i/>
        </w:rPr>
      </w:pPr>
      <w:r w:rsidRPr="00796FCE">
        <w:rPr>
          <w:bCs/>
          <w:i/>
        </w:rPr>
        <w:t>Obsahuje tyto informace:</w:t>
      </w:r>
    </w:p>
    <w:p w14:paraId="10AC7519" w14:textId="77777777" w:rsidR="00410CFA" w:rsidRPr="00796FCE" w:rsidRDefault="00410CFA" w:rsidP="007F5475">
      <w:pPr>
        <w:pStyle w:val="Odstavecseseznamem"/>
        <w:numPr>
          <w:ilvl w:val="0"/>
          <w:numId w:val="5"/>
        </w:numPr>
        <w:ind w:left="1560"/>
        <w:jc w:val="both"/>
        <w:rPr>
          <w:bCs/>
          <w:i/>
        </w:rPr>
      </w:pPr>
      <w:r w:rsidRPr="00796FCE">
        <w:rPr>
          <w:bCs/>
          <w:i/>
        </w:rPr>
        <w:t>Název projektu, akronym, trvání, abstrakt;</w:t>
      </w:r>
    </w:p>
    <w:p w14:paraId="4314E911" w14:textId="77777777" w:rsidR="00410CFA" w:rsidRPr="00796FCE" w:rsidRDefault="00410CFA" w:rsidP="007F5475">
      <w:pPr>
        <w:pStyle w:val="Odstavecseseznamem"/>
        <w:numPr>
          <w:ilvl w:val="0"/>
          <w:numId w:val="5"/>
        </w:numPr>
        <w:ind w:left="1560"/>
        <w:jc w:val="both"/>
        <w:rPr>
          <w:bCs/>
          <w:i/>
        </w:rPr>
      </w:pPr>
      <w:r w:rsidRPr="00796FCE">
        <w:rPr>
          <w:bCs/>
          <w:i/>
        </w:rPr>
        <w:t>Prohlášení koordinátora;</w:t>
      </w:r>
    </w:p>
    <w:p w14:paraId="143E18BB" w14:textId="77777777" w:rsidR="00410CFA" w:rsidRPr="00796FCE" w:rsidRDefault="00410CFA" w:rsidP="007F5475">
      <w:pPr>
        <w:pStyle w:val="Odstavecseseznamem"/>
        <w:numPr>
          <w:ilvl w:val="0"/>
          <w:numId w:val="5"/>
        </w:numPr>
        <w:ind w:left="1560"/>
        <w:jc w:val="both"/>
        <w:rPr>
          <w:bCs/>
          <w:i/>
        </w:rPr>
      </w:pPr>
      <w:r w:rsidRPr="00796FCE">
        <w:rPr>
          <w:bCs/>
          <w:i/>
        </w:rPr>
        <w:t>Seznam účastníků;</w:t>
      </w:r>
    </w:p>
    <w:p w14:paraId="2D477276" w14:textId="77777777" w:rsidR="00410CFA" w:rsidRPr="00796FCE" w:rsidRDefault="00410CFA" w:rsidP="007F5475">
      <w:pPr>
        <w:pStyle w:val="Odstavecseseznamem"/>
        <w:numPr>
          <w:ilvl w:val="0"/>
          <w:numId w:val="5"/>
        </w:numPr>
        <w:ind w:left="1560"/>
        <w:jc w:val="both"/>
        <w:rPr>
          <w:bCs/>
          <w:i/>
        </w:rPr>
      </w:pPr>
      <w:r w:rsidRPr="00796FCE">
        <w:rPr>
          <w:bCs/>
          <w:i/>
        </w:rPr>
        <w:t xml:space="preserve">Údaje o účastnících se organizacích a výzkumnících; </w:t>
      </w:r>
    </w:p>
    <w:p w14:paraId="28FED902" w14:textId="77777777" w:rsidR="00410CFA" w:rsidRPr="00796FCE" w:rsidRDefault="00410CFA" w:rsidP="007F5475">
      <w:pPr>
        <w:pStyle w:val="Odstavecseseznamem"/>
        <w:numPr>
          <w:ilvl w:val="0"/>
          <w:numId w:val="5"/>
        </w:numPr>
        <w:ind w:left="1560"/>
        <w:jc w:val="both"/>
        <w:rPr>
          <w:bCs/>
          <w:i/>
        </w:rPr>
      </w:pPr>
      <w:r w:rsidRPr="00796FCE">
        <w:rPr>
          <w:bCs/>
          <w:i/>
        </w:rPr>
        <w:t>Relevantní publikace, projekty, infrastruktury;</w:t>
      </w:r>
    </w:p>
    <w:p w14:paraId="53D7E7C9" w14:textId="77777777" w:rsidR="00410CFA" w:rsidRPr="00796FCE" w:rsidRDefault="00410CFA" w:rsidP="007F5475">
      <w:pPr>
        <w:pStyle w:val="Odstavecseseznamem"/>
        <w:numPr>
          <w:ilvl w:val="0"/>
          <w:numId w:val="5"/>
        </w:numPr>
        <w:ind w:left="1560"/>
        <w:jc w:val="both"/>
        <w:rPr>
          <w:bCs/>
          <w:i/>
        </w:rPr>
      </w:pPr>
      <w:r w:rsidRPr="00796FCE">
        <w:rPr>
          <w:bCs/>
          <w:i/>
        </w:rPr>
        <w:t xml:space="preserve">Prohlášení o Gender </w:t>
      </w:r>
      <w:proofErr w:type="spellStart"/>
      <w:r w:rsidRPr="00796FCE">
        <w:rPr>
          <w:bCs/>
          <w:i/>
        </w:rPr>
        <w:t>equality</w:t>
      </w:r>
      <w:proofErr w:type="spellEnd"/>
      <w:r w:rsidRPr="00796FCE">
        <w:rPr>
          <w:bCs/>
          <w:i/>
        </w:rPr>
        <w:t xml:space="preserve"> </w:t>
      </w:r>
      <w:proofErr w:type="spellStart"/>
      <w:r w:rsidRPr="00796FCE">
        <w:rPr>
          <w:bCs/>
          <w:i/>
        </w:rPr>
        <w:t>plan</w:t>
      </w:r>
      <w:proofErr w:type="spellEnd"/>
      <w:r w:rsidRPr="00796FCE">
        <w:rPr>
          <w:bCs/>
          <w:i/>
        </w:rPr>
        <w:t xml:space="preserve">; </w:t>
      </w:r>
    </w:p>
    <w:p w14:paraId="1CE3DD7E" w14:textId="77777777" w:rsidR="00410CFA" w:rsidRPr="00796FCE" w:rsidRDefault="00410CFA" w:rsidP="007F5475">
      <w:pPr>
        <w:pStyle w:val="Odstavecseseznamem"/>
        <w:numPr>
          <w:ilvl w:val="0"/>
          <w:numId w:val="5"/>
        </w:numPr>
        <w:ind w:left="1560"/>
        <w:jc w:val="both"/>
        <w:rPr>
          <w:bCs/>
          <w:i/>
        </w:rPr>
      </w:pPr>
      <w:r w:rsidRPr="00796FCE">
        <w:rPr>
          <w:bCs/>
          <w:i/>
        </w:rPr>
        <w:t>Rozpočet;</w:t>
      </w:r>
    </w:p>
    <w:p w14:paraId="73BEB7E6" w14:textId="7F9C8B7E" w:rsidR="00410CFA" w:rsidRPr="00796FCE" w:rsidRDefault="00410CFA" w:rsidP="007F5475">
      <w:pPr>
        <w:pStyle w:val="Odstavecseseznamem"/>
        <w:numPr>
          <w:ilvl w:val="0"/>
          <w:numId w:val="5"/>
        </w:numPr>
        <w:ind w:left="1560"/>
        <w:jc w:val="both"/>
        <w:rPr>
          <w:bCs/>
          <w:i/>
        </w:rPr>
      </w:pPr>
      <w:r w:rsidRPr="00796FCE">
        <w:rPr>
          <w:bCs/>
          <w:i/>
        </w:rPr>
        <w:t>Etika a bezpečnost.</w:t>
      </w:r>
    </w:p>
    <w:p w14:paraId="33A0549D" w14:textId="77777777" w:rsidR="004A00DF" w:rsidRPr="00796FCE" w:rsidRDefault="004A00DF" w:rsidP="00C77F9F">
      <w:pPr>
        <w:pStyle w:val="Odstavecseseznamem"/>
        <w:ind w:left="1080"/>
        <w:jc w:val="both"/>
        <w:rPr>
          <w:bCs/>
          <w:i/>
        </w:rPr>
      </w:pPr>
    </w:p>
    <w:p w14:paraId="76A1EDA9" w14:textId="6A73503F" w:rsidR="00410CFA" w:rsidRPr="00796FCE" w:rsidRDefault="00410CFA" w:rsidP="007F5475">
      <w:pPr>
        <w:pStyle w:val="Odstavecseseznamem"/>
        <w:numPr>
          <w:ilvl w:val="0"/>
          <w:numId w:val="4"/>
        </w:numPr>
        <w:jc w:val="both"/>
        <w:rPr>
          <w:bCs/>
          <w:i/>
        </w:rPr>
      </w:pPr>
      <w:r w:rsidRPr="00796FCE">
        <w:rPr>
          <w:b/>
          <w:bCs/>
          <w:i/>
        </w:rPr>
        <w:t>Část B</w:t>
      </w:r>
      <w:r w:rsidRPr="00796FCE">
        <w:rPr>
          <w:bCs/>
          <w:i/>
        </w:rPr>
        <w:t xml:space="preserve"> představuje technický popis projektu vytvořený na základě šablony a vložený ve</w:t>
      </w:r>
      <w:r w:rsidR="00F101A3">
        <w:rPr>
          <w:bCs/>
          <w:i/>
        </w:rPr>
        <w:t> </w:t>
      </w:r>
      <w:r w:rsidRPr="00796FCE">
        <w:rPr>
          <w:bCs/>
          <w:i/>
        </w:rPr>
        <w:t xml:space="preserve">formátu </w:t>
      </w:r>
      <w:proofErr w:type="spellStart"/>
      <w:r w:rsidRPr="00796FCE">
        <w:rPr>
          <w:bCs/>
          <w:i/>
        </w:rPr>
        <w:t>pdf</w:t>
      </w:r>
      <w:proofErr w:type="spellEnd"/>
      <w:r w:rsidRPr="00796FCE">
        <w:rPr>
          <w:bCs/>
          <w:i/>
        </w:rPr>
        <w:t xml:space="preserve"> do informačního systému, v němž se připravuje projektové žádost. Je dlouhý max. 45 stran a žadatelé v něm uvádějí tyto informace:</w:t>
      </w:r>
    </w:p>
    <w:p w14:paraId="3D275705" w14:textId="77777777" w:rsidR="00410CFA" w:rsidRPr="00796FCE" w:rsidRDefault="00410CFA" w:rsidP="007F5475">
      <w:pPr>
        <w:pStyle w:val="Odstavecseseznamem"/>
        <w:numPr>
          <w:ilvl w:val="0"/>
          <w:numId w:val="6"/>
        </w:numPr>
        <w:ind w:left="1560"/>
        <w:jc w:val="both"/>
        <w:rPr>
          <w:bCs/>
          <w:i/>
        </w:rPr>
      </w:pPr>
      <w:r w:rsidRPr="00796FCE">
        <w:rPr>
          <w:bCs/>
          <w:i/>
        </w:rPr>
        <w:t xml:space="preserve">Excelence – popisuje cíle a ambice projektu (uvádí se např., zda projekt směřuje za hranice současného poznání, kde se projekt nachází ve spektru „idea to </w:t>
      </w:r>
      <w:proofErr w:type="spellStart"/>
      <w:r w:rsidRPr="00796FCE">
        <w:rPr>
          <w:bCs/>
          <w:i/>
        </w:rPr>
        <w:t>application</w:t>
      </w:r>
      <w:proofErr w:type="spellEnd"/>
      <w:r w:rsidRPr="00796FCE">
        <w:rPr>
          <w:bCs/>
          <w:i/>
        </w:rPr>
        <w:t>“, případně „</w:t>
      </w:r>
      <w:proofErr w:type="spellStart"/>
      <w:r w:rsidRPr="00796FCE">
        <w:rPr>
          <w:bCs/>
          <w:i/>
        </w:rPr>
        <w:t>lab</w:t>
      </w:r>
      <w:proofErr w:type="spellEnd"/>
      <w:r w:rsidRPr="00796FCE">
        <w:rPr>
          <w:bCs/>
          <w:i/>
        </w:rPr>
        <w:t xml:space="preserve"> to market“, jaký je stupeň TRL na začátku a konci projektu apod.), metodologie (popisuje se např. celkový přístup, použité modely, předpoklady, slabiny navržené metodologie, napojení na národní či mezinárodní výzkumné a inovační aktivity, interdisciplinarita, genderové aspekty, využití principu „open science“, data management a management dalších výstupů výzkumu, atd.);</w:t>
      </w:r>
    </w:p>
    <w:p w14:paraId="29422094" w14:textId="64DA65E3" w:rsidR="00410CFA" w:rsidRPr="00796FCE" w:rsidRDefault="00410CFA" w:rsidP="007F5475">
      <w:pPr>
        <w:pStyle w:val="Odstavecseseznamem"/>
        <w:numPr>
          <w:ilvl w:val="0"/>
          <w:numId w:val="6"/>
        </w:numPr>
        <w:ind w:left="1560"/>
        <w:jc w:val="both"/>
        <w:rPr>
          <w:bCs/>
          <w:i/>
        </w:rPr>
      </w:pPr>
      <w:r w:rsidRPr="00796FCE">
        <w:rPr>
          <w:bCs/>
          <w:i/>
        </w:rPr>
        <w:t>Dopad – popisuje se cesta k dosažení dopadů, prostředky k jejich dosažení (šíření, využití a</w:t>
      </w:r>
      <w:r w:rsidR="00F101A3">
        <w:rPr>
          <w:bCs/>
          <w:i/>
        </w:rPr>
        <w:t> </w:t>
      </w:r>
      <w:r w:rsidRPr="00796FCE">
        <w:rPr>
          <w:bCs/>
          <w:i/>
        </w:rPr>
        <w:t xml:space="preserve">komunikace); </w:t>
      </w:r>
    </w:p>
    <w:p w14:paraId="68E8855C" w14:textId="2983AFF9" w:rsidR="00410CFA" w:rsidRPr="00796FCE" w:rsidRDefault="00410CFA" w:rsidP="007F5475">
      <w:pPr>
        <w:pStyle w:val="Odstavecseseznamem"/>
        <w:numPr>
          <w:ilvl w:val="0"/>
          <w:numId w:val="6"/>
        </w:numPr>
        <w:ind w:left="1560"/>
        <w:jc w:val="both"/>
        <w:rPr>
          <w:bCs/>
          <w:i/>
        </w:rPr>
      </w:pPr>
      <w:r w:rsidRPr="00796FCE">
        <w:rPr>
          <w:bCs/>
          <w:i/>
        </w:rPr>
        <w:t>Implementace – uvádí se pracovní plán projektu a jeho zdroje, kapacita účastníků a</w:t>
      </w:r>
      <w:r w:rsidR="00F101A3">
        <w:rPr>
          <w:bCs/>
          <w:i/>
        </w:rPr>
        <w:t> </w:t>
      </w:r>
      <w:r w:rsidRPr="00796FCE">
        <w:rPr>
          <w:bCs/>
          <w:i/>
        </w:rPr>
        <w:t>konsorcia jako celku atd.</w:t>
      </w:r>
    </w:p>
    <w:p w14:paraId="24DC944C" w14:textId="69842F02" w:rsidR="006A2AF9" w:rsidRPr="003E1CEB" w:rsidRDefault="00410CFA" w:rsidP="003E1CEB">
      <w:pPr>
        <w:jc w:val="both"/>
        <w:rPr>
          <w:bCs/>
          <w:i/>
          <w:iCs/>
        </w:rPr>
      </w:pPr>
      <w:r w:rsidRPr="009A29BF">
        <w:rPr>
          <w:bCs/>
          <w:iCs/>
        </w:rPr>
        <w:t xml:space="preserve">V případě programů základního výzkumu </w:t>
      </w:r>
      <w:r>
        <w:rPr>
          <w:bCs/>
          <w:iCs/>
        </w:rPr>
        <w:t>je možné projektovou žádost</w:t>
      </w:r>
      <w:r w:rsidRPr="009A29BF">
        <w:rPr>
          <w:bCs/>
          <w:iCs/>
        </w:rPr>
        <w:t xml:space="preserve"> rozdělit do dvou částí – složení excelence projektového týmu a způsob řešení (excelence navržené metodolog</w:t>
      </w:r>
      <w:r>
        <w:rPr>
          <w:bCs/>
          <w:iCs/>
        </w:rPr>
        <w:t>ie a předpokládaných výsledků) zahrnující i předpokládanou finanční náročnost.</w:t>
      </w:r>
    </w:p>
    <w:p w14:paraId="5574099C" w14:textId="72A51BD2" w:rsidR="00410CFA" w:rsidRDefault="00410CFA" w:rsidP="00292167">
      <w:pPr>
        <w:rPr>
          <w:bCs/>
          <w:iCs/>
        </w:rPr>
      </w:pPr>
      <w:r w:rsidRPr="008B4031">
        <w:rPr>
          <w:b/>
          <w:bCs/>
          <w:iCs/>
        </w:rPr>
        <w:t xml:space="preserve">Inspirativní </w:t>
      </w:r>
      <w:r w:rsidRPr="0025410C">
        <w:rPr>
          <w:bCs/>
          <w:iCs/>
        </w:rPr>
        <w:t xml:space="preserve">mohou být rovněž projektové žádosti u grantů Evropské výzkumné </w:t>
      </w:r>
      <w:r w:rsidR="004A00DF">
        <w:rPr>
          <w:bCs/>
          <w:iCs/>
        </w:rPr>
        <w:t>rady (ERC granty).</w:t>
      </w:r>
    </w:p>
    <w:p w14:paraId="59FFA5F4" w14:textId="41BD9104" w:rsidR="0077493A" w:rsidRDefault="0077493A">
      <w:pPr>
        <w:rPr>
          <w:bCs/>
          <w:iCs/>
        </w:rPr>
      </w:pPr>
      <w:r>
        <w:rPr>
          <w:bCs/>
          <w:iCs/>
        </w:rPr>
        <w:br w:type="page"/>
      </w:r>
    </w:p>
    <w:p w14:paraId="20712850" w14:textId="77777777" w:rsidR="000470B1" w:rsidRPr="004A00DF" w:rsidRDefault="000470B1" w:rsidP="00292167">
      <w:pPr>
        <w:rPr>
          <w:bCs/>
          <w:iCs/>
        </w:rPr>
      </w:pPr>
    </w:p>
    <w:p w14:paraId="5FA18341" w14:textId="3DCE683E" w:rsidR="00410CFA" w:rsidRPr="004A00DF" w:rsidRDefault="00410CFA" w:rsidP="00292167">
      <w:pPr>
        <w:rPr>
          <w:bCs/>
          <w:iCs/>
        </w:rPr>
      </w:pPr>
      <w:r w:rsidRPr="004A00DF">
        <w:rPr>
          <w:b/>
          <w:bCs/>
          <w:iCs/>
        </w:rPr>
        <w:t>Struktura projektové žádosti u grantů Evropské výzkumné rady</w:t>
      </w:r>
      <w:r w:rsidR="004A00DF" w:rsidRPr="004A00DF">
        <w:rPr>
          <w:rStyle w:val="Znakapoznpodarou"/>
          <w:bCs/>
          <w:iCs/>
        </w:rPr>
        <w:footnoteReference w:id="4"/>
      </w:r>
    </w:p>
    <w:p w14:paraId="52354FCB" w14:textId="3C02BC9F" w:rsidR="00410CFA" w:rsidRPr="00796FCE" w:rsidRDefault="00410CFA" w:rsidP="00C77F9F">
      <w:pPr>
        <w:jc w:val="both"/>
        <w:rPr>
          <w:bCs/>
          <w:i/>
        </w:rPr>
      </w:pPr>
      <w:r w:rsidRPr="00796FCE">
        <w:rPr>
          <w:bCs/>
          <w:i/>
        </w:rPr>
        <w:t xml:space="preserve">S výjimkou grantu ERC </w:t>
      </w:r>
      <w:proofErr w:type="spellStart"/>
      <w:r w:rsidRPr="00796FCE">
        <w:rPr>
          <w:bCs/>
          <w:i/>
        </w:rPr>
        <w:t>Proof-of-Concept</w:t>
      </w:r>
      <w:proofErr w:type="spellEnd"/>
      <w:r w:rsidRPr="00796FCE">
        <w:rPr>
          <w:bCs/>
          <w:i/>
        </w:rPr>
        <w:t xml:space="preserve"> je projektová žádost strukturována do dvou částí (A </w:t>
      </w:r>
      <w:proofErr w:type="spellStart"/>
      <w:r w:rsidRPr="00796FCE">
        <w:rPr>
          <w:bCs/>
          <w:i/>
        </w:rPr>
        <w:t>a</w:t>
      </w:r>
      <w:proofErr w:type="spellEnd"/>
      <w:r w:rsidRPr="00796FCE">
        <w:rPr>
          <w:bCs/>
          <w:i/>
        </w:rPr>
        <w:t xml:space="preserve"> B) a</w:t>
      </w:r>
      <w:r w:rsidR="00F101A3">
        <w:rPr>
          <w:bCs/>
          <w:i/>
        </w:rPr>
        <w:t> </w:t>
      </w:r>
      <w:r w:rsidRPr="00796FCE">
        <w:rPr>
          <w:bCs/>
          <w:i/>
        </w:rPr>
        <w:t>samostatných příloh. Jednotlivé části projektové žádosti je možné stručně charakterizovat následovně:</w:t>
      </w:r>
    </w:p>
    <w:p w14:paraId="62431043" w14:textId="79E1890F" w:rsidR="00410CFA" w:rsidRPr="00796FCE" w:rsidRDefault="00410CFA" w:rsidP="00292167">
      <w:pPr>
        <w:rPr>
          <w:bCs/>
          <w:i/>
        </w:rPr>
      </w:pPr>
      <w:r w:rsidRPr="00796FCE">
        <w:rPr>
          <w:bCs/>
          <w:i/>
        </w:rPr>
        <w:t>•</w:t>
      </w:r>
      <w:r w:rsidR="0077493A">
        <w:rPr>
          <w:bCs/>
          <w:i/>
        </w:rPr>
        <w:t xml:space="preserve"> </w:t>
      </w:r>
      <w:r w:rsidRPr="00796FCE">
        <w:rPr>
          <w:bCs/>
          <w:i/>
        </w:rPr>
        <w:t>A-administrativní formuláře, do nichž se vyplňují administrativní údaje o projektu včetně finančních aspektů projektu;</w:t>
      </w:r>
    </w:p>
    <w:p w14:paraId="41D3BB4C" w14:textId="1CC7DD7D" w:rsidR="00410CFA" w:rsidRPr="00796FCE" w:rsidRDefault="00410CFA" w:rsidP="00292167">
      <w:pPr>
        <w:rPr>
          <w:bCs/>
          <w:i/>
        </w:rPr>
      </w:pPr>
      <w:r w:rsidRPr="00796FCE">
        <w:rPr>
          <w:bCs/>
          <w:i/>
        </w:rPr>
        <w:t>•</w:t>
      </w:r>
      <w:r w:rsidR="0077493A">
        <w:rPr>
          <w:bCs/>
          <w:i/>
        </w:rPr>
        <w:t xml:space="preserve"> </w:t>
      </w:r>
      <w:r w:rsidRPr="00796FCE">
        <w:rPr>
          <w:bCs/>
          <w:i/>
        </w:rPr>
        <w:t>B-odborný popis projektu ve formě textu s předepsanou strukturou:</w:t>
      </w:r>
    </w:p>
    <w:p w14:paraId="72C52E18" w14:textId="102BF656" w:rsidR="00410CFA" w:rsidRPr="00796FCE" w:rsidRDefault="00410CFA" w:rsidP="0077493A">
      <w:pPr>
        <w:ind w:left="426"/>
        <w:rPr>
          <w:bCs/>
          <w:i/>
        </w:rPr>
      </w:pPr>
      <w:r w:rsidRPr="00796FCE">
        <w:rPr>
          <w:bCs/>
          <w:i/>
        </w:rPr>
        <w:t>o</w:t>
      </w:r>
      <w:r w:rsidRPr="00796FCE">
        <w:rPr>
          <w:bCs/>
          <w:i/>
        </w:rPr>
        <w:tab/>
        <w:t>B1-Sekce a: Zkrácená verze vědeckého návrhu (</w:t>
      </w:r>
      <w:proofErr w:type="spellStart"/>
      <w:r w:rsidRPr="00796FCE">
        <w:rPr>
          <w:bCs/>
          <w:i/>
        </w:rPr>
        <w:t>Extended</w:t>
      </w:r>
      <w:proofErr w:type="spellEnd"/>
      <w:r w:rsidRPr="00796FCE">
        <w:rPr>
          <w:bCs/>
          <w:i/>
        </w:rPr>
        <w:t xml:space="preserve"> </w:t>
      </w:r>
      <w:proofErr w:type="spellStart"/>
      <w:r w:rsidRPr="00796FCE">
        <w:rPr>
          <w:bCs/>
          <w:i/>
        </w:rPr>
        <w:t>Synopsis</w:t>
      </w:r>
      <w:proofErr w:type="spellEnd"/>
      <w:r w:rsidRPr="00796FCE">
        <w:rPr>
          <w:bCs/>
          <w:i/>
        </w:rPr>
        <w:t>) – 5 stran;</w:t>
      </w:r>
    </w:p>
    <w:p w14:paraId="1186469B" w14:textId="246DEFEA" w:rsidR="00410CFA" w:rsidRPr="00796FCE" w:rsidRDefault="00410CFA" w:rsidP="0077493A">
      <w:pPr>
        <w:ind w:left="426"/>
        <w:rPr>
          <w:bCs/>
          <w:i/>
        </w:rPr>
      </w:pPr>
      <w:r w:rsidRPr="00796FCE">
        <w:rPr>
          <w:bCs/>
          <w:i/>
        </w:rPr>
        <w:t xml:space="preserve">           Sekce b: Curriculum Vitae (CV) – 2 strany;</w:t>
      </w:r>
    </w:p>
    <w:p w14:paraId="674F73C2" w14:textId="64AC4923" w:rsidR="00410CFA" w:rsidRPr="00796FCE" w:rsidRDefault="00410CFA" w:rsidP="0077493A">
      <w:pPr>
        <w:ind w:left="426"/>
        <w:rPr>
          <w:bCs/>
          <w:i/>
        </w:rPr>
      </w:pPr>
      <w:r w:rsidRPr="00796FCE">
        <w:rPr>
          <w:bCs/>
          <w:i/>
        </w:rPr>
        <w:t xml:space="preserve">           Sekce c: Dosažené výsledky (Early </w:t>
      </w:r>
      <w:proofErr w:type="spellStart"/>
      <w:r w:rsidRPr="00796FCE">
        <w:rPr>
          <w:bCs/>
          <w:i/>
        </w:rPr>
        <w:t>achievements</w:t>
      </w:r>
      <w:proofErr w:type="spellEnd"/>
      <w:r w:rsidRPr="00796FCE">
        <w:rPr>
          <w:bCs/>
          <w:i/>
        </w:rPr>
        <w:t xml:space="preserve">, Track </w:t>
      </w:r>
      <w:proofErr w:type="spellStart"/>
      <w:r w:rsidRPr="00796FCE">
        <w:rPr>
          <w:bCs/>
          <w:i/>
        </w:rPr>
        <w:t>Record</w:t>
      </w:r>
      <w:proofErr w:type="spellEnd"/>
      <w:r w:rsidRPr="00796FCE">
        <w:rPr>
          <w:bCs/>
          <w:i/>
        </w:rPr>
        <w:t>) – 2 strany;</w:t>
      </w:r>
    </w:p>
    <w:p w14:paraId="6E18D64E" w14:textId="12DEE1C9" w:rsidR="00410CFA" w:rsidRPr="00796FCE" w:rsidRDefault="00410CFA" w:rsidP="0077493A">
      <w:pPr>
        <w:ind w:left="426"/>
        <w:rPr>
          <w:bCs/>
          <w:i/>
        </w:rPr>
      </w:pPr>
      <w:r w:rsidRPr="00796FCE">
        <w:rPr>
          <w:bCs/>
          <w:i/>
        </w:rPr>
        <w:t xml:space="preserve">           Příloha: běžící granty a současně podané žádosti o grant.</w:t>
      </w:r>
    </w:p>
    <w:p w14:paraId="49E25FB4" w14:textId="71360460" w:rsidR="00410CFA" w:rsidRPr="00796FCE" w:rsidRDefault="00410CFA" w:rsidP="0077493A">
      <w:pPr>
        <w:ind w:left="426"/>
        <w:rPr>
          <w:bCs/>
          <w:i/>
        </w:rPr>
      </w:pPr>
      <w:r w:rsidRPr="00796FCE">
        <w:rPr>
          <w:bCs/>
          <w:i/>
        </w:rPr>
        <w:t>o</w:t>
      </w:r>
      <w:r w:rsidRPr="00796FCE">
        <w:rPr>
          <w:bCs/>
          <w:i/>
        </w:rPr>
        <w:tab/>
        <w:t>B2-Celý vědecký návrh projektu - 14 stran (</w:t>
      </w:r>
      <w:proofErr w:type="spellStart"/>
      <w:r w:rsidRPr="00796FCE">
        <w:rPr>
          <w:bCs/>
          <w:i/>
        </w:rPr>
        <w:t>StG</w:t>
      </w:r>
      <w:proofErr w:type="spellEnd"/>
      <w:r w:rsidRPr="00796FCE">
        <w:rPr>
          <w:bCs/>
          <w:i/>
        </w:rPr>
        <w:t xml:space="preserve">, </w:t>
      </w:r>
      <w:proofErr w:type="spellStart"/>
      <w:r w:rsidRPr="00796FCE">
        <w:rPr>
          <w:bCs/>
          <w:i/>
        </w:rPr>
        <w:t>CoG</w:t>
      </w:r>
      <w:proofErr w:type="spellEnd"/>
      <w:r w:rsidRPr="00796FCE">
        <w:rPr>
          <w:bCs/>
          <w:i/>
        </w:rPr>
        <w:t xml:space="preserve">, </w:t>
      </w:r>
      <w:proofErr w:type="spellStart"/>
      <w:r w:rsidRPr="00796FCE">
        <w:rPr>
          <w:bCs/>
          <w:i/>
        </w:rPr>
        <w:t>AdG</w:t>
      </w:r>
      <w:proofErr w:type="spellEnd"/>
      <w:r w:rsidRPr="00796FCE">
        <w:rPr>
          <w:bCs/>
          <w:i/>
        </w:rPr>
        <w:t>), 15 stran (</w:t>
      </w:r>
      <w:proofErr w:type="spellStart"/>
      <w:r w:rsidRPr="00796FCE">
        <w:rPr>
          <w:bCs/>
          <w:i/>
        </w:rPr>
        <w:t>SyG</w:t>
      </w:r>
      <w:proofErr w:type="spellEnd"/>
      <w:r w:rsidRPr="00796FCE">
        <w:rPr>
          <w:bCs/>
          <w:i/>
        </w:rPr>
        <w:t>):</w:t>
      </w:r>
    </w:p>
    <w:p w14:paraId="0C7E4F7D" w14:textId="60454192" w:rsidR="00410CFA" w:rsidRPr="00796FCE" w:rsidRDefault="00410CFA" w:rsidP="0077493A">
      <w:pPr>
        <w:ind w:left="426"/>
        <w:rPr>
          <w:bCs/>
          <w:i/>
        </w:rPr>
      </w:pPr>
      <w:r w:rsidRPr="00796FCE">
        <w:rPr>
          <w:bCs/>
          <w:i/>
        </w:rPr>
        <w:t xml:space="preserve">           Sekce a: Stav poznání (</w:t>
      </w:r>
      <w:proofErr w:type="spellStart"/>
      <w:r w:rsidRPr="00796FCE">
        <w:rPr>
          <w:bCs/>
          <w:i/>
        </w:rPr>
        <w:t>State</w:t>
      </w:r>
      <w:proofErr w:type="spellEnd"/>
      <w:r w:rsidRPr="00796FCE">
        <w:rPr>
          <w:bCs/>
          <w:i/>
        </w:rPr>
        <w:t>-</w:t>
      </w:r>
      <w:proofErr w:type="spellStart"/>
      <w:r w:rsidRPr="00796FCE">
        <w:rPr>
          <w:bCs/>
          <w:i/>
        </w:rPr>
        <w:t>of</w:t>
      </w:r>
      <w:proofErr w:type="spellEnd"/>
      <w:r w:rsidRPr="00796FCE">
        <w:rPr>
          <w:bCs/>
          <w:i/>
        </w:rPr>
        <w:t>-</w:t>
      </w:r>
      <w:proofErr w:type="spellStart"/>
      <w:r w:rsidRPr="00796FCE">
        <w:rPr>
          <w:bCs/>
          <w:i/>
        </w:rPr>
        <w:t>the</w:t>
      </w:r>
      <w:proofErr w:type="spellEnd"/>
      <w:r w:rsidRPr="00796FCE">
        <w:rPr>
          <w:bCs/>
          <w:i/>
        </w:rPr>
        <w:t>-art) a cíle projektu;</w:t>
      </w:r>
    </w:p>
    <w:p w14:paraId="64BC32BE" w14:textId="0FE3B76D" w:rsidR="00410CFA" w:rsidRPr="00796FCE" w:rsidRDefault="00410CFA" w:rsidP="0077493A">
      <w:pPr>
        <w:ind w:left="426"/>
        <w:rPr>
          <w:bCs/>
          <w:i/>
        </w:rPr>
      </w:pPr>
      <w:r w:rsidRPr="00796FCE">
        <w:rPr>
          <w:bCs/>
          <w:i/>
        </w:rPr>
        <w:t xml:space="preserve">           Sekce b: Metodologie.</w:t>
      </w:r>
    </w:p>
    <w:p w14:paraId="22F3960A" w14:textId="1AEA218E" w:rsidR="00410CFA" w:rsidRPr="00796FCE" w:rsidRDefault="00410CFA" w:rsidP="00292167">
      <w:pPr>
        <w:rPr>
          <w:bCs/>
          <w:i/>
        </w:rPr>
      </w:pPr>
      <w:r w:rsidRPr="00796FCE">
        <w:rPr>
          <w:bCs/>
          <w:i/>
        </w:rPr>
        <w:t>•</w:t>
      </w:r>
      <w:r w:rsidR="0077493A">
        <w:rPr>
          <w:bCs/>
          <w:i/>
        </w:rPr>
        <w:t xml:space="preserve"> </w:t>
      </w:r>
      <w:r w:rsidRPr="00796FCE">
        <w:rPr>
          <w:bCs/>
          <w:i/>
        </w:rPr>
        <w:t>Příloh</w:t>
      </w:r>
      <w:r w:rsidR="00221BE4">
        <w:rPr>
          <w:bCs/>
          <w:i/>
        </w:rPr>
        <w:t>y</w:t>
      </w:r>
      <w:r w:rsidRPr="00796FCE">
        <w:rPr>
          <w:bCs/>
          <w:i/>
        </w:rPr>
        <w:t>-</w:t>
      </w:r>
      <w:r w:rsidR="00221BE4">
        <w:rPr>
          <w:bCs/>
          <w:i/>
        </w:rPr>
        <w:t>Z</w:t>
      </w:r>
      <w:r w:rsidRPr="00796FCE">
        <w:rPr>
          <w:bCs/>
          <w:i/>
        </w:rPr>
        <w:t xml:space="preserve">ávazek hostitelské instituce (Host </w:t>
      </w:r>
      <w:proofErr w:type="spellStart"/>
      <w:r w:rsidRPr="00796FCE">
        <w:rPr>
          <w:bCs/>
          <w:i/>
        </w:rPr>
        <w:t>Institution</w:t>
      </w:r>
      <w:proofErr w:type="spellEnd"/>
      <w:r w:rsidRPr="00796FCE">
        <w:rPr>
          <w:bCs/>
          <w:i/>
        </w:rPr>
        <w:t xml:space="preserve"> </w:t>
      </w:r>
      <w:proofErr w:type="spellStart"/>
      <w:r w:rsidRPr="00796FCE">
        <w:rPr>
          <w:bCs/>
          <w:i/>
        </w:rPr>
        <w:t>Letter</w:t>
      </w:r>
      <w:proofErr w:type="spellEnd"/>
      <w:r w:rsidRPr="00796FCE">
        <w:rPr>
          <w:bCs/>
          <w:i/>
        </w:rPr>
        <w:t xml:space="preserve"> </w:t>
      </w:r>
      <w:proofErr w:type="spellStart"/>
      <w:r w:rsidRPr="00796FCE">
        <w:rPr>
          <w:bCs/>
          <w:i/>
        </w:rPr>
        <w:t>of</w:t>
      </w:r>
      <w:proofErr w:type="spellEnd"/>
      <w:r w:rsidRPr="00796FCE">
        <w:rPr>
          <w:bCs/>
          <w:i/>
        </w:rPr>
        <w:t xml:space="preserve"> Support), potvrzení o obhajobě titulu Ph.D. u </w:t>
      </w:r>
      <w:proofErr w:type="spellStart"/>
      <w:r w:rsidRPr="00796FCE">
        <w:rPr>
          <w:bCs/>
          <w:i/>
        </w:rPr>
        <w:t>StG</w:t>
      </w:r>
      <w:proofErr w:type="spellEnd"/>
      <w:r w:rsidRPr="00796FCE">
        <w:rPr>
          <w:bCs/>
          <w:i/>
        </w:rPr>
        <w:t>/</w:t>
      </w:r>
      <w:proofErr w:type="spellStart"/>
      <w:r w:rsidRPr="00796FCE">
        <w:rPr>
          <w:bCs/>
          <w:i/>
        </w:rPr>
        <w:t>CoG</w:t>
      </w:r>
      <w:proofErr w:type="spellEnd"/>
      <w:r w:rsidRPr="00796FCE">
        <w:rPr>
          <w:bCs/>
          <w:i/>
        </w:rPr>
        <w:t>.</w:t>
      </w:r>
    </w:p>
    <w:p w14:paraId="5551AC62" w14:textId="680C3D29" w:rsidR="00410CFA" w:rsidRPr="00796FCE" w:rsidRDefault="00410CFA" w:rsidP="002F553C">
      <w:pPr>
        <w:rPr>
          <w:i/>
        </w:rPr>
      </w:pPr>
    </w:p>
    <w:p w14:paraId="4B8128E3" w14:textId="24512CDC" w:rsidR="00410CFA" w:rsidRPr="00936DF6" w:rsidRDefault="00410CFA" w:rsidP="002F553C">
      <w:pPr>
        <w:pStyle w:val="Nadpis2"/>
        <w:rPr>
          <w:szCs w:val="28"/>
        </w:rPr>
      </w:pPr>
      <w:bookmarkStart w:id="21" w:name="_Toc195184942"/>
      <w:r w:rsidRPr="00936DF6">
        <w:rPr>
          <w:szCs w:val="28"/>
        </w:rPr>
        <w:t>Další návrhy pro snižování administrativní náročnosti přípravy projektových žádostí</w:t>
      </w:r>
      <w:bookmarkEnd w:id="21"/>
    </w:p>
    <w:p w14:paraId="3F694F00" w14:textId="50F69087" w:rsidR="00410CFA" w:rsidRPr="00796FCE" w:rsidRDefault="00410CFA" w:rsidP="00C77F9F">
      <w:pPr>
        <w:jc w:val="both"/>
        <w:rPr>
          <w:bCs/>
          <w:iCs/>
        </w:rPr>
      </w:pPr>
      <w:r>
        <w:rPr>
          <w:bCs/>
          <w:iCs/>
        </w:rPr>
        <w:t xml:space="preserve">Pro </w:t>
      </w:r>
      <w:r w:rsidRPr="00605106">
        <w:rPr>
          <w:bCs/>
          <w:iCs/>
        </w:rPr>
        <w:t>snižování administrativní náročnosti přípravy projektových žádostí je</w:t>
      </w:r>
      <w:r>
        <w:rPr>
          <w:bCs/>
          <w:iCs/>
        </w:rPr>
        <w:t xml:space="preserve"> vhodné realizovat i</w:t>
      </w:r>
      <w:r w:rsidR="00F101A3">
        <w:rPr>
          <w:bCs/>
          <w:iCs/>
        </w:rPr>
        <w:t> </w:t>
      </w:r>
      <w:r w:rsidRPr="00022F5F">
        <w:rPr>
          <w:bCs/>
          <w:iCs/>
        </w:rPr>
        <w:t xml:space="preserve">následující možnosti spojené </w:t>
      </w:r>
      <w:r w:rsidRPr="00796FCE">
        <w:rPr>
          <w:bCs/>
          <w:iCs/>
        </w:rPr>
        <w:t>s </w:t>
      </w:r>
      <w:r w:rsidR="000E6BEB" w:rsidRPr="00796FCE">
        <w:rPr>
          <w:bCs/>
          <w:iCs/>
        </w:rPr>
        <w:t>digitalizací</w:t>
      </w:r>
      <w:r w:rsidR="000E6BEB" w:rsidRPr="00022F5F">
        <w:rPr>
          <w:bCs/>
          <w:iCs/>
        </w:rPr>
        <w:t xml:space="preserve"> </w:t>
      </w:r>
      <w:r w:rsidRPr="00022F5F">
        <w:rPr>
          <w:bCs/>
          <w:iCs/>
        </w:rPr>
        <w:t>celého procesu předkládání, schvalování, realizace a</w:t>
      </w:r>
      <w:r w:rsidR="00F101A3">
        <w:rPr>
          <w:bCs/>
          <w:iCs/>
        </w:rPr>
        <w:t> </w:t>
      </w:r>
      <w:r w:rsidRPr="00022F5F">
        <w:rPr>
          <w:bCs/>
          <w:iCs/>
        </w:rPr>
        <w:t>vykazování ž</w:t>
      </w:r>
      <w:r w:rsidR="004A00DF" w:rsidRPr="00022F5F">
        <w:rPr>
          <w:bCs/>
          <w:iCs/>
        </w:rPr>
        <w:t xml:space="preserve">ádostí/projektů účelové </w:t>
      </w:r>
      <w:r w:rsidR="004A00DF" w:rsidRPr="00796FCE">
        <w:rPr>
          <w:bCs/>
          <w:iCs/>
        </w:rPr>
        <w:t>podpory:</w:t>
      </w:r>
    </w:p>
    <w:p w14:paraId="78BC1D3B" w14:textId="6C92DB6C" w:rsidR="003A7CF9" w:rsidRPr="00796FCE" w:rsidRDefault="003A7CF9" w:rsidP="007F5475">
      <w:pPr>
        <w:pStyle w:val="Odstavecseseznamem"/>
        <w:numPr>
          <w:ilvl w:val="0"/>
          <w:numId w:val="4"/>
        </w:numPr>
        <w:jc w:val="both"/>
        <w:rPr>
          <w:bCs/>
          <w:iCs/>
        </w:rPr>
      </w:pPr>
      <w:r w:rsidRPr="00796FCE">
        <w:rPr>
          <w:b/>
          <w:iCs/>
        </w:rPr>
        <w:t>Elektronická projektová žádost</w:t>
      </w:r>
      <w:r w:rsidRPr="00796FCE">
        <w:rPr>
          <w:bCs/>
          <w:iCs/>
        </w:rPr>
        <w:t xml:space="preserve"> by měla být tam, kde to stávající nastavení registrů statní správy umožňuje</w:t>
      </w:r>
      <w:r w:rsidRPr="00796FCE">
        <w:rPr>
          <w:b/>
          <w:iCs/>
        </w:rPr>
        <w:t>, propojena s těmito registry</w:t>
      </w:r>
      <w:r w:rsidRPr="00796FCE">
        <w:rPr>
          <w:bCs/>
          <w:iCs/>
        </w:rPr>
        <w:t>, aby žadatelé nemuseli doplňovat a</w:t>
      </w:r>
      <w:r w:rsidR="00F101A3">
        <w:rPr>
          <w:bCs/>
          <w:iCs/>
        </w:rPr>
        <w:t> </w:t>
      </w:r>
      <w:r w:rsidRPr="00796FCE">
        <w:rPr>
          <w:bCs/>
          <w:iCs/>
        </w:rPr>
        <w:t>případně formou povinných příloh dokladovat informace, které jsou uvedeny v různých registrech. Jistým problémem však může být, že data v některých registrech (rejstřících, seznamech) nejsou strojově čitelná. Jde zejména o data z obchodního rejstříku využívaná pro posouzení velikosti podniku. Tato data proto musí být v současné době nakupována z</w:t>
      </w:r>
      <w:r w:rsidR="00F101A3">
        <w:rPr>
          <w:bCs/>
          <w:iCs/>
        </w:rPr>
        <w:t> </w:t>
      </w:r>
      <w:r w:rsidRPr="00796FCE">
        <w:rPr>
          <w:bCs/>
          <w:iCs/>
        </w:rPr>
        <w:t xml:space="preserve">komerčních databází. Dalšími registry, které neuvádějí strojově čitelná data, jsou např. rejstřík skutečných majitelů či sankční seznam. </w:t>
      </w:r>
    </w:p>
    <w:p w14:paraId="46087C34" w14:textId="58F8AA34" w:rsidR="00410CFA" w:rsidRPr="00796FCE" w:rsidRDefault="00410CFA" w:rsidP="007F5475">
      <w:pPr>
        <w:pStyle w:val="Odstavecseseznamem"/>
        <w:numPr>
          <w:ilvl w:val="0"/>
          <w:numId w:val="4"/>
        </w:numPr>
        <w:jc w:val="both"/>
        <w:rPr>
          <w:bCs/>
          <w:iCs/>
        </w:rPr>
      </w:pPr>
      <w:r w:rsidRPr="00796FCE">
        <w:rPr>
          <w:b/>
          <w:iCs/>
        </w:rPr>
        <w:t>Omezit povinné přílohy</w:t>
      </w:r>
      <w:r w:rsidRPr="00796FCE">
        <w:rPr>
          <w:bCs/>
          <w:iCs/>
        </w:rPr>
        <w:t xml:space="preserve"> projektové žádosti a zároveň </w:t>
      </w:r>
      <w:r w:rsidRPr="00796FCE">
        <w:rPr>
          <w:b/>
          <w:iCs/>
        </w:rPr>
        <w:t>zohlednit při jejich dokládání termíny předkládání</w:t>
      </w:r>
      <w:r w:rsidRPr="00796FCE">
        <w:rPr>
          <w:bCs/>
          <w:iCs/>
        </w:rPr>
        <w:t xml:space="preserve"> tak, aby odpovídaly skutečné potřebě dodání informací uvedených v</w:t>
      </w:r>
      <w:r w:rsidR="00F101A3">
        <w:rPr>
          <w:bCs/>
          <w:iCs/>
        </w:rPr>
        <w:t> </w:t>
      </w:r>
      <w:r w:rsidRPr="00796FCE">
        <w:rPr>
          <w:bCs/>
          <w:iCs/>
        </w:rPr>
        <w:t xml:space="preserve">těchto přílohách pro hodnocení projektových žádostí (např. přílohy nezbytné pro </w:t>
      </w:r>
      <w:r w:rsidRPr="00796FCE">
        <w:rPr>
          <w:bCs/>
          <w:iCs/>
        </w:rPr>
        <w:lastRenderedPageBreak/>
        <w:t>posouzení způsobilosti uchazeče jsou předkládány spolu s projektovou žádostí, zatímco konsorciální smlouvy mohou být dodány až před podpisem smlouvy)</w:t>
      </w:r>
      <w:r w:rsidRPr="00796FCE">
        <w:rPr>
          <w:bCs/>
          <w:i/>
          <w:iCs/>
        </w:rPr>
        <w:t xml:space="preserve">. </w:t>
      </w:r>
    </w:p>
    <w:p w14:paraId="46563919" w14:textId="107FF8B8" w:rsidR="00E4228F" w:rsidRPr="00796FCE" w:rsidRDefault="00E4228F" w:rsidP="007F5475">
      <w:pPr>
        <w:pStyle w:val="Odstavecseseznamem"/>
        <w:numPr>
          <w:ilvl w:val="0"/>
          <w:numId w:val="4"/>
        </w:numPr>
        <w:jc w:val="both"/>
        <w:rPr>
          <w:bCs/>
          <w:iCs/>
        </w:rPr>
      </w:pPr>
      <w:r w:rsidRPr="00796FCE">
        <w:rPr>
          <w:bCs/>
          <w:iCs/>
        </w:rPr>
        <w:t xml:space="preserve">Je-li to možné </w:t>
      </w:r>
      <w:r w:rsidRPr="00796FCE">
        <w:rPr>
          <w:b/>
          <w:iCs/>
        </w:rPr>
        <w:t>dokládat povinné přílohy projektových žádostí v podobě čestných prohlášení</w:t>
      </w:r>
      <w:r w:rsidRPr="00796FCE">
        <w:rPr>
          <w:bCs/>
          <w:iCs/>
        </w:rPr>
        <w:t xml:space="preserve"> statutárního zástupce žadatele.</w:t>
      </w:r>
    </w:p>
    <w:p w14:paraId="2CDF074F" w14:textId="56A6835A" w:rsidR="00410CFA" w:rsidRPr="00796FCE" w:rsidRDefault="00410CFA" w:rsidP="007F5475">
      <w:pPr>
        <w:pStyle w:val="Odstavecseseznamem"/>
        <w:numPr>
          <w:ilvl w:val="0"/>
          <w:numId w:val="7"/>
        </w:numPr>
        <w:jc w:val="both"/>
        <w:rPr>
          <w:bCs/>
          <w:iCs/>
        </w:rPr>
      </w:pPr>
      <w:r w:rsidRPr="00796FCE">
        <w:rPr>
          <w:b/>
          <w:iCs/>
        </w:rPr>
        <w:t>Zvážit nutnost požadování opakujících se dokumentů ke všem žádostem projektů</w:t>
      </w:r>
      <w:r w:rsidRPr="00796FCE">
        <w:rPr>
          <w:bCs/>
          <w:iCs/>
        </w:rPr>
        <w:t>, které</w:t>
      </w:r>
      <w:r w:rsidR="00F101A3">
        <w:rPr>
          <w:bCs/>
          <w:iCs/>
        </w:rPr>
        <w:t> </w:t>
      </w:r>
      <w:r w:rsidRPr="00796FCE">
        <w:rPr>
          <w:bCs/>
          <w:iCs/>
        </w:rPr>
        <w:t xml:space="preserve">daná instituce předkládá v rámci veřejných soutěží. Částečně lze snížit administrativní náročnost možností předkládat </w:t>
      </w:r>
      <w:r w:rsidRPr="00796FCE">
        <w:rPr>
          <w:b/>
          <w:iCs/>
        </w:rPr>
        <w:t>čestná prohlášení pro celou výzkumnou organizaci</w:t>
      </w:r>
      <w:r w:rsidRPr="00796FCE">
        <w:rPr>
          <w:bCs/>
          <w:iCs/>
        </w:rPr>
        <w:t xml:space="preserve">.   </w:t>
      </w:r>
    </w:p>
    <w:p w14:paraId="1AE56175" w14:textId="11EA46EF" w:rsidR="00E4228F" w:rsidRPr="00796FCE" w:rsidRDefault="00530FBF" w:rsidP="007F5475">
      <w:pPr>
        <w:pStyle w:val="Odstavecseseznamem"/>
        <w:numPr>
          <w:ilvl w:val="0"/>
          <w:numId w:val="4"/>
        </w:numPr>
        <w:jc w:val="both"/>
        <w:rPr>
          <w:bCs/>
          <w:iCs/>
        </w:rPr>
      </w:pPr>
      <w:r w:rsidRPr="00796FCE">
        <w:rPr>
          <w:bCs/>
          <w:iCs/>
        </w:rPr>
        <w:t xml:space="preserve">V těch případech, kdy je to vhodné a účelné, může poskytovatel dotace požadovat pouze </w:t>
      </w:r>
      <w:r w:rsidRPr="00796FCE">
        <w:rPr>
          <w:b/>
          <w:iCs/>
        </w:rPr>
        <w:t xml:space="preserve">souhrnné Čestné prohlášení </w:t>
      </w:r>
      <w:r w:rsidR="00852945" w:rsidRPr="00796FCE">
        <w:rPr>
          <w:b/>
          <w:iCs/>
        </w:rPr>
        <w:t>uchazeče</w:t>
      </w:r>
      <w:r w:rsidR="00852945" w:rsidRPr="00796FCE">
        <w:rPr>
          <w:bCs/>
          <w:iCs/>
        </w:rPr>
        <w:t xml:space="preserve"> </w:t>
      </w:r>
      <w:r w:rsidRPr="00796FCE">
        <w:rPr>
          <w:bCs/>
          <w:iCs/>
        </w:rPr>
        <w:t>v souladu s požadavky uvedenými zejména v §</w:t>
      </w:r>
      <w:r w:rsidR="0075408B">
        <w:rPr>
          <w:bCs/>
          <w:iCs/>
        </w:rPr>
        <w:t xml:space="preserve"> </w:t>
      </w:r>
      <w:r w:rsidRPr="00796FCE">
        <w:rPr>
          <w:bCs/>
          <w:iCs/>
        </w:rPr>
        <w:t xml:space="preserve">18 odst. 2 </w:t>
      </w:r>
      <w:r w:rsidR="00C9161B">
        <w:rPr>
          <w:bCs/>
          <w:iCs/>
        </w:rPr>
        <w:t>z</w:t>
      </w:r>
      <w:r w:rsidRPr="00796FCE">
        <w:rPr>
          <w:bCs/>
          <w:iCs/>
        </w:rPr>
        <w:t xml:space="preserve">ákona </w:t>
      </w:r>
      <w:r w:rsidR="00C9161B">
        <w:rPr>
          <w:bCs/>
          <w:iCs/>
        </w:rPr>
        <w:t xml:space="preserve">č. </w:t>
      </w:r>
      <w:r w:rsidRPr="00796FCE">
        <w:rPr>
          <w:bCs/>
          <w:iCs/>
        </w:rPr>
        <w:t xml:space="preserve">130/2002 Sb. Na poskytovateli je stanovit, zdali toto čestné prohlášení je nutné předkládat ke každému projektu nebo pouze jednou za skupinu projektů předložených daným </w:t>
      </w:r>
      <w:r w:rsidR="00852945" w:rsidRPr="00796FCE">
        <w:rPr>
          <w:bCs/>
          <w:iCs/>
        </w:rPr>
        <w:t xml:space="preserve">uchazečem </w:t>
      </w:r>
      <w:r w:rsidRPr="00796FCE">
        <w:rPr>
          <w:bCs/>
          <w:iCs/>
        </w:rPr>
        <w:t xml:space="preserve">v rámci příslušné </w:t>
      </w:r>
      <w:r w:rsidR="0021177E" w:rsidRPr="00796FCE">
        <w:rPr>
          <w:bCs/>
          <w:iCs/>
        </w:rPr>
        <w:t>veřejné soutěže</w:t>
      </w:r>
      <w:r w:rsidRPr="00796FCE">
        <w:rPr>
          <w:bCs/>
          <w:iCs/>
        </w:rPr>
        <w:t xml:space="preserve">. Na </w:t>
      </w:r>
      <w:r w:rsidR="00852945" w:rsidRPr="00796FCE">
        <w:rPr>
          <w:bCs/>
          <w:iCs/>
        </w:rPr>
        <w:t xml:space="preserve">uchazeči </w:t>
      </w:r>
      <w:r w:rsidRPr="00796FCE">
        <w:rPr>
          <w:bCs/>
          <w:iCs/>
        </w:rPr>
        <w:t>je pak povinnost sledovat aktuálnost čestného prohlášení, k če</w:t>
      </w:r>
      <w:r w:rsidR="004A35ED" w:rsidRPr="00796FCE">
        <w:rPr>
          <w:bCs/>
          <w:iCs/>
        </w:rPr>
        <w:t xml:space="preserve">muž je nutné zavázat žadatele v </w:t>
      </w:r>
      <w:r w:rsidRPr="00796FCE">
        <w:rPr>
          <w:bCs/>
          <w:iCs/>
        </w:rPr>
        <w:t xml:space="preserve">rámci všeobecných pravidel. Vzor Čestného prohlášení žadatele připravený v </w:t>
      </w:r>
      <w:r w:rsidR="003E1CEB" w:rsidRPr="00796FCE">
        <w:rPr>
          <w:bCs/>
          <w:iCs/>
        </w:rPr>
        <w:t xml:space="preserve">rámci KMP je uveden v Příloze </w:t>
      </w:r>
      <w:r w:rsidR="00EC3050" w:rsidRPr="00796FCE">
        <w:rPr>
          <w:bCs/>
          <w:iCs/>
        </w:rPr>
        <w:t>1</w:t>
      </w:r>
      <w:r w:rsidR="003E1CEB" w:rsidRPr="00796FCE">
        <w:rPr>
          <w:bCs/>
          <w:iCs/>
        </w:rPr>
        <w:t>0</w:t>
      </w:r>
      <w:r w:rsidR="0075464F" w:rsidRPr="00796FCE">
        <w:rPr>
          <w:bCs/>
          <w:iCs/>
        </w:rPr>
        <w:t>.2</w:t>
      </w:r>
      <w:r w:rsidRPr="00796FCE">
        <w:rPr>
          <w:bCs/>
          <w:iCs/>
        </w:rPr>
        <w:t xml:space="preserve"> tohoto dokumentu</w:t>
      </w:r>
      <w:r w:rsidR="003E1CEB" w:rsidRPr="00796FCE">
        <w:rPr>
          <w:bCs/>
          <w:iCs/>
        </w:rPr>
        <w:t>.</w:t>
      </w:r>
      <w:r w:rsidR="00E4228F" w:rsidRPr="00796FCE">
        <w:rPr>
          <w:bCs/>
          <w:iCs/>
        </w:rPr>
        <w:t xml:space="preserve"> </w:t>
      </w:r>
    </w:p>
    <w:p w14:paraId="535B3F46" w14:textId="7F5FD7C3" w:rsidR="00E4228F" w:rsidRPr="00796FCE" w:rsidRDefault="00E4228F" w:rsidP="007F5475">
      <w:pPr>
        <w:pStyle w:val="Odstavecseseznamem"/>
        <w:numPr>
          <w:ilvl w:val="0"/>
          <w:numId w:val="4"/>
        </w:numPr>
        <w:jc w:val="both"/>
        <w:rPr>
          <w:bCs/>
          <w:iCs/>
        </w:rPr>
      </w:pPr>
      <w:r w:rsidRPr="00796FCE">
        <w:rPr>
          <w:bCs/>
          <w:iCs/>
        </w:rPr>
        <w:t xml:space="preserve">Uznávat </w:t>
      </w:r>
      <w:r w:rsidRPr="00796FCE">
        <w:rPr>
          <w:b/>
          <w:iCs/>
        </w:rPr>
        <w:t>elektronické podpisy požadovaných dokumentů</w:t>
      </w:r>
      <w:r w:rsidRPr="00796FCE">
        <w:rPr>
          <w:bCs/>
          <w:iCs/>
        </w:rPr>
        <w:t xml:space="preserve"> jako samozřejmý způsob předkládání v rámci elektronické projektové žádosti.</w:t>
      </w:r>
    </w:p>
    <w:p w14:paraId="7C10EF51" w14:textId="6E974428" w:rsidR="00530FBF" w:rsidRDefault="00530FBF" w:rsidP="00E4228F">
      <w:pPr>
        <w:pStyle w:val="Odstavecseseznamem"/>
        <w:ind w:left="1080"/>
        <w:jc w:val="both"/>
        <w:rPr>
          <w:bCs/>
          <w:iCs/>
        </w:rPr>
      </w:pPr>
    </w:p>
    <w:tbl>
      <w:tblPr>
        <w:tblStyle w:val="Mkatabulky"/>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3221"/>
        <w:gridCol w:w="5821"/>
      </w:tblGrid>
      <w:tr w:rsidR="00DC0B3F" w14:paraId="1560734F" w14:textId="77777777" w:rsidTr="00E4228F">
        <w:tc>
          <w:tcPr>
            <w:tcW w:w="3221" w:type="dxa"/>
          </w:tcPr>
          <w:p w14:paraId="2758876C" w14:textId="77777777" w:rsidR="00F70A60" w:rsidRPr="00F70A60" w:rsidRDefault="00DC0B3F" w:rsidP="007F5475">
            <w:pPr>
              <w:pStyle w:val="Odstavecseseznamem"/>
              <w:numPr>
                <w:ilvl w:val="0"/>
                <w:numId w:val="16"/>
              </w:numPr>
              <w:rPr>
                <w:b/>
                <w:sz w:val="28"/>
                <w:szCs w:val="28"/>
              </w:rPr>
            </w:pPr>
            <w:r w:rsidRPr="002C25DC">
              <w:rPr>
                <w:b/>
                <w:color w:val="FFC000"/>
                <w:sz w:val="28"/>
                <w:szCs w:val="28"/>
              </w:rPr>
              <w:t xml:space="preserve">DOPORUČENÍ </w:t>
            </w:r>
          </w:p>
          <w:p w14:paraId="629B5963" w14:textId="6DFA271D" w:rsidR="00DC0B3F" w:rsidRPr="002C25DC" w:rsidRDefault="00F70A60" w:rsidP="00F70A60">
            <w:pPr>
              <w:pStyle w:val="Odstavecseseznamem"/>
              <w:jc w:val="right"/>
              <w:rPr>
                <w:b/>
                <w:sz w:val="28"/>
                <w:szCs w:val="28"/>
              </w:rPr>
            </w:pPr>
            <w:r>
              <w:rPr>
                <w:b/>
                <w:color w:val="FFC000"/>
                <w:sz w:val="28"/>
                <w:szCs w:val="28"/>
              </w:rPr>
              <w:t>vzešlá z jednání platformy pro přípravu MP</w:t>
            </w:r>
            <w:r w:rsidRPr="002C25DC">
              <w:rPr>
                <w:b/>
                <w:color w:val="FFC000"/>
                <w:sz w:val="28"/>
                <w:szCs w:val="28"/>
              </w:rPr>
              <w:t xml:space="preserve">           </w:t>
            </w:r>
            <w:r w:rsidR="00DC0B3F" w:rsidRPr="002C25DC">
              <w:rPr>
                <w:b/>
                <w:color w:val="FFC000"/>
                <w:sz w:val="28"/>
                <w:szCs w:val="28"/>
              </w:rPr>
              <w:t xml:space="preserve">     </w:t>
            </w:r>
          </w:p>
        </w:tc>
        <w:tc>
          <w:tcPr>
            <w:tcW w:w="5821" w:type="dxa"/>
          </w:tcPr>
          <w:p w14:paraId="7B8A50A0" w14:textId="63B002B5" w:rsidR="00DC0B3F" w:rsidRPr="0094445B" w:rsidRDefault="00DC0B3F" w:rsidP="007F5475">
            <w:pPr>
              <w:pStyle w:val="Odstavecseseznamem"/>
              <w:numPr>
                <w:ilvl w:val="0"/>
                <w:numId w:val="15"/>
              </w:numPr>
            </w:pPr>
            <w:r w:rsidRPr="00C5798B">
              <w:rPr>
                <w:rFonts w:ascii="Calibri" w:hAnsi="Calibri" w:cs="Calibri"/>
              </w:rPr>
              <w:t>Text veřejné soutěže strukturovat do dvou částí</w:t>
            </w:r>
            <w:r w:rsidR="002131BC">
              <w:rPr>
                <w:rFonts w:ascii="Calibri" w:hAnsi="Calibri" w:cs="Calibri"/>
              </w:rPr>
              <w:t xml:space="preserve"> </w:t>
            </w:r>
            <w:r w:rsidR="00FA32DA">
              <w:rPr>
                <w:rFonts w:ascii="Calibri" w:hAnsi="Calibri" w:cs="Calibri"/>
              </w:rPr>
              <w:t>–</w:t>
            </w:r>
            <w:r w:rsidR="002131BC">
              <w:rPr>
                <w:rFonts w:ascii="Calibri" w:hAnsi="Calibri" w:cs="Calibri"/>
              </w:rPr>
              <w:t xml:space="preserve"> </w:t>
            </w:r>
            <w:r w:rsidRPr="00C5798B">
              <w:rPr>
                <w:rFonts w:ascii="Calibri" w:hAnsi="Calibri" w:cs="Calibri"/>
              </w:rPr>
              <w:t>věcné zaměření veřejné soutěže a specificky zaměřené přílohy. Zadávací dokumentace musí být jasná, stručná a snadno uchopitelná pro žadatele</w:t>
            </w:r>
            <w:r w:rsidR="0094445B">
              <w:rPr>
                <w:rFonts w:ascii="Calibri" w:hAnsi="Calibri" w:cs="Calibri"/>
              </w:rPr>
              <w:t>.</w:t>
            </w:r>
          </w:p>
          <w:p w14:paraId="61358D21" w14:textId="77777777" w:rsidR="0094445B" w:rsidRPr="0094445B" w:rsidRDefault="0094445B" w:rsidP="007F5475">
            <w:pPr>
              <w:pStyle w:val="Odstavecseseznamem"/>
              <w:numPr>
                <w:ilvl w:val="0"/>
                <w:numId w:val="15"/>
              </w:numPr>
            </w:pPr>
            <w:r w:rsidRPr="00C5798B">
              <w:rPr>
                <w:rFonts w:ascii="Calibri" w:hAnsi="Calibri" w:cs="Calibri"/>
              </w:rPr>
              <w:t>Projektovou žád</w:t>
            </w:r>
            <w:r>
              <w:rPr>
                <w:rFonts w:ascii="Calibri" w:hAnsi="Calibri" w:cs="Calibri"/>
              </w:rPr>
              <w:t>ost strukturovat na obecnou</w:t>
            </w:r>
            <w:r w:rsidRPr="00C5798B">
              <w:rPr>
                <w:rFonts w:ascii="Calibri" w:hAnsi="Calibri" w:cs="Calibri"/>
              </w:rPr>
              <w:t xml:space="preserve"> a odbornou (věcnou) část. V obecné části budou obsaženy informace pro hodnocení přijatelnosti, tj. formální kontrolu, odborná (věcná) část pak bude předmětem odborného hodnocení.</w:t>
            </w:r>
          </w:p>
          <w:p w14:paraId="39406193" w14:textId="77777777" w:rsidR="0094445B" w:rsidRPr="0094445B" w:rsidRDefault="0094445B" w:rsidP="007F5475">
            <w:pPr>
              <w:pStyle w:val="Odstavecseseznamem"/>
              <w:numPr>
                <w:ilvl w:val="0"/>
                <w:numId w:val="15"/>
              </w:numPr>
            </w:pPr>
            <w:r w:rsidRPr="00C5798B">
              <w:rPr>
                <w:rFonts w:ascii="Calibri" w:hAnsi="Calibri" w:cs="Calibri"/>
              </w:rPr>
              <w:t>Termíny dokládání povinných příloh k projektové žádosti svázat se skutečnou potřebou dodání informací uvedených v těchto přílohách pro hodnocení projektových žádostí.</w:t>
            </w:r>
          </w:p>
          <w:p w14:paraId="118BD6F1" w14:textId="77777777" w:rsidR="00B274B7" w:rsidRPr="00B274B7" w:rsidRDefault="0094445B" w:rsidP="007F5475">
            <w:pPr>
              <w:pStyle w:val="Odstavecseseznamem"/>
              <w:numPr>
                <w:ilvl w:val="0"/>
                <w:numId w:val="15"/>
              </w:numPr>
            </w:pPr>
            <w:r w:rsidRPr="0094445B">
              <w:rPr>
                <w:rFonts w:ascii="Calibri" w:hAnsi="Calibri" w:cs="Calibri"/>
              </w:rPr>
              <w:t>Pro posuzování oprávněnosti žadatelů v maximální míře využívat informace z registrů státní správy, a to obzvlášť v případě, že tyto registry spravují</w:t>
            </w:r>
            <w:r w:rsidRPr="0094445B">
              <w:rPr>
                <w:rFonts w:cstheme="minorHAnsi"/>
              </w:rPr>
              <w:t>. Diskutovat se správci těchto registrů, aby zajistili strojovou čitelnost těchto dat.</w:t>
            </w:r>
          </w:p>
          <w:p w14:paraId="7CC10EC4" w14:textId="119162E6" w:rsidR="00B274B7" w:rsidRPr="00B274B7" w:rsidRDefault="00B274B7" w:rsidP="007F5475">
            <w:pPr>
              <w:pStyle w:val="Odstavecseseznamem"/>
              <w:numPr>
                <w:ilvl w:val="0"/>
                <w:numId w:val="15"/>
              </w:numPr>
            </w:pPr>
            <w:r w:rsidRPr="005F0BDF">
              <w:t>Sjednocení pravidel ke střetu zájmů.</w:t>
            </w:r>
          </w:p>
        </w:tc>
      </w:tr>
    </w:tbl>
    <w:p w14:paraId="16DBA74D" w14:textId="38EA72DA" w:rsidR="0077493A" w:rsidRDefault="0077493A" w:rsidP="000913CA">
      <w:pPr>
        <w:rPr>
          <w:b/>
          <w:bCs/>
          <w:sz w:val="28"/>
          <w:szCs w:val="28"/>
        </w:rPr>
      </w:pPr>
    </w:p>
    <w:p w14:paraId="1544D663" w14:textId="77777777" w:rsidR="0077493A" w:rsidRDefault="0077493A">
      <w:pPr>
        <w:rPr>
          <w:b/>
          <w:bCs/>
          <w:sz w:val="28"/>
          <w:szCs w:val="28"/>
        </w:rPr>
      </w:pPr>
      <w:r>
        <w:rPr>
          <w:b/>
          <w:bCs/>
          <w:sz w:val="28"/>
          <w:szCs w:val="28"/>
        </w:rPr>
        <w:br w:type="page"/>
      </w:r>
    </w:p>
    <w:p w14:paraId="1EC2F980" w14:textId="77777777" w:rsidR="003607F1" w:rsidRDefault="003607F1" w:rsidP="000913CA">
      <w:pPr>
        <w:rPr>
          <w:b/>
          <w:bCs/>
          <w:sz w:val="28"/>
          <w:szCs w:val="28"/>
        </w:rPr>
      </w:pPr>
    </w:p>
    <w:p w14:paraId="269FAC9B" w14:textId="165F45C6" w:rsidR="003607F1" w:rsidRPr="00766CF0" w:rsidRDefault="00E16608" w:rsidP="00766CF0">
      <w:pPr>
        <w:pStyle w:val="Nadpis1"/>
      </w:pPr>
      <w:bookmarkStart w:id="22" w:name="_Toc195184943"/>
      <w:r w:rsidRPr="00766CF0">
        <w:t>Hodnocení a práce s</w:t>
      </w:r>
      <w:r w:rsidR="003607F1" w:rsidRPr="00766CF0">
        <w:t> </w:t>
      </w:r>
      <w:r w:rsidRPr="00766CF0">
        <w:t>hodnotiteli</w:t>
      </w:r>
      <w:bookmarkEnd w:id="22"/>
    </w:p>
    <w:p w14:paraId="55B8869D" w14:textId="2C3BECBB" w:rsidR="00E23C0C" w:rsidRDefault="003607F1" w:rsidP="0077493A">
      <w:pPr>
        <w:pStyle w:val="Nadpis2"/>
        <w:numPr>
          <w:ilvl w:val="0"/>
          <w:numId w:val="0"/>
        </w:numPr>
        <w:spacing w:after="240"/>
      </w:pPr>
      <w:bookmarkStart w:id="23" w:name="_Toc195184944"/>
      <w:r>
        <w:t xml:space="preserve">6.1 </w:t>
      </w:r>
      <w:r w:rsidR="00E16608" w:rsidRPr="000378E4">
        <w:t>Přijímání</w:t>
      </w:r>
      <w:r w:rsidR="00E16608">
        <w:t xml:space="preserve"> a hodnocení návrhů </w:t>
      </w:r>
      <w:r w:rsidR="00E16608" w:rsidRPr="000378E4">
        <w:t>projektů</w:t>
      </w:r>
      <w:bookmarkEnd w:id="23"/>
      <w:r w:rsidR="00E16608">
        <w:t xml:space="preserve"> </w:t>
      </w:r>
    </w:p>
    <w:p w14:paraId="15B91579" w14:textId="431E3FC2" w:rsidR="00E16608" w:rsidRDefault="00E23C0C" w:rsidP="003E1CEB">
      <w:pPr>
        <w:jc w:val="both"/>
      </w:pPr>
      <w:r w:rsidRPr="0060537A">
        <w:t xml:space="preserve">Oblast přijímání a hodnocení návrhů projektů je v základních parametrech popsána již v rámci dokumentů schvalovaných vládou spolu se všemi dokumenty jednotlivých programů účelové podpory. Pro poskytovatele </w:t>
      </w:r>
      <w:r w:rsidR="00D00061">
        <w:t xml:space="preserve">podpory je podstatné si </w:t>
      </w:r>
      <w:r w:rsidRPr="0060537A">
        <w:t xml:space="preserve">vytvořit základní metodický dokument zaměřený na popis procesu přijímání a následného hodnocení včetně možností </w:t>
      </w:r>
      <w:r w:rsidR="00E01D8E">
        <w:t>obrany</w:t>
      </w:r>
      <w:r w:rsidRPr="0060537A">
        <w:t xml:space="preserve"> proti zápornému hodnocení, a to s ohledem na oblast poskytnutí účelové podpory (základní výzkum, aplikovaný výzkum, inovace a jiné), tj. s ohledem na základní kritéria hodnocení, ale i s ohledem na potenciální žadatele podpory (např. s ohledem na veřejnou podporu) či možnosti předkládání konsorciálních p</w:t>
      </w:r>
      <w:r w:rsidR="003E1CEB">
        <w:t>rojektů.</w:t>
      </w:r>
    </w:p>
    <w:p w14:paraId="78798A36" w14:textId="2C737A8B" w:rsidR="00E16608" w:rsidRDefault="000470B1" w:rsidP="000470B1">
      <w:pPr>
        <w:pStyle w:val="Nadpis3"/>
        <w:numPr>
          <w:ilvl w:val="0"/>
          <w:numId w:val="0"/>
        </w:numPr>
        <w:ind w:left="720" w:hanging="720"/>
      </w:pPr>
      <w:bookmarkStart w:id="24" w:name="_Toc195063172"/>
      <w:bookmarkStart w:id="25" w:name="_Toc195087070"/>
      <w:bookmarkStart w:id="26" w:name="_Toc195184945"/>
      <w:r>
        <w:t xml:space="preserve">6.1.1 </w:t>
      </w:r>
      <w:r w:rsidR="0006353A">
        <w:t>Z</w:t>
      </w:r>
      <w:r w:rsidR="00E16608">
        <w:t>ákladní podmínky pro přijímání žádostí</w:t>
      </w:r>
      <w:bookmarkEnd w:id="24"/>
      <w:bookmarkEnd w:id="25"/>
      <w:bookmarkEnd w:id="26"/>
    </w:p>
    <w:p w14:paraId="194B6B84" w14:textId="642C1E63" w:rsidR="00E23C0C" w:rsidRPr="00D00061" w:rsidRDefault="00E23C0C" w:rsidP="00C77F9F">
      <w:pPr>
        <w:pStyle w:val="Odstavecseseznamem"/>
        <w:ind w:left="0"/>
        <w:jc w:val="both"/>
        <w:rPr>
          <w:rFonts w:cstheme="minorHAnsi"/>
          <w:b/>
        </w:rPr>
      </w:pPr>
      <w:r w:rsidRPr="0020624F">
        <w:rPr>
          <w:rFonts w:cstheme="minorHAnsi"/>
        </w:rPr>
        <w:t xml:space="preserve">Poskytovatel je povinen vytvořit pro přijímání žádostí </w:t>
      </w:r>
      <w:r w:rsidR="00B50219">
        <w:rPr>
          <w:rFonts w:cstheme="minorHAnsi"/>
        </w:rPr>
        <w:t xml:space="preserve">transparentní </w:t>
      </w:r>
      <w:r>
        <w:rPr>
          <w:rFonts w:cstheme="minorHAnsi"/>
        </w:rPr>
        <w:t xml:space="preserve">a nediskriminační podmínky, které uvede v zadávací dokumentaci k příslušné veřejné soutěži, nemá-li nastavený jednotný systém pro přijímání žádostí v rámci jím připravovaných programů, který pouze aktualizuje na příslušnou veřejnou soutěž. Sám je povinen tyto podmínky dodržovat a vyžadovat jejich dodržování i od </w:t>
      </w:r>
      <w:r w:rsidR="00AD0745" w:rsidRPr="00796FCE">
        <w:rPr>
          <w:rFonts w:cstheme="minorHAnsi"/>
        </w:rPr>
        <w:t>uchazečů</w:t>
      </w:r>
      <w:r w:rsidRPr="00796FCE">
        <w:rPr>
          <w:rFonts w:cstheme="minorHAnsi"/>
        </w:rPr>
        <w:t>.</w:t>
      </w:r>
      <w:r>
        <w:rPr>
          <w:rFonts w:cstheme="minorHAnsi"/>
        </w:rPr>
        <w:t xml:space="preserve"> </w:t>
      </w:r>
      <w:r w:rsidRPr="00D00061">
        <w:rPr>
          <w:rFonts w:cstheme="minorHAnsi"/>
          <w:b/>
        </w:rPr>
        <w:t xml:space="preserve">V případě veřejných zakázek se přijímání nabídek řídi zákonem o veřejných zakázkách (viz </w:t>
      </w:r>
      <w:r w:rsidR="001C39A2">
        <w:rPr>
          <w:rFonts w:cstheme="minorHAnsi"/>
          <w:b/>
        </w:rPr>
        <w:t>z</w:t>
      </w:r>
      <w:r w:rsidRPr="00D00061">
        <w:rPr>
          <w:rFonts w:cstheme="minorHAnsi"/>
          <w:b/>
        </w:rPr>
        <w:t>ákon č.</w:t>
      </w:r>
      <w:r w:rsidR="00804D9A">
        <w:rPr>
          <w:rFonts w:cstheme="minorHAnsi"/>
          <w:b/>
        </w:rPr>
        <w:t> </w:t>
      </w:r>
      <w:r w:rsidRPr="00D00061">
        <w:rPr>
          <w:rFonts w:cstheme="minorHAnsi"/>
          <w:b/>
        </w:rPr>
        <w:t>134/2016 Sb. a související legislativa).</w:t>
      </w:r>
    </w:p>
    <w:p w14:paraId="011744F1" w14:textId="77777777" w:rsidR="00292167" w:rsidRPr="0076127A" w:rsidRDefault="00292167" w:rsidP="00C77F9F">
      <w:pPr>
        <w:pStyle w:val="Odstavecseseznamem"/>
        <w:ind w:left="0"/>
        <w:jc w:val="both"/>
        <w:rPr>
          <w:rFonts w:cstheme="minorHAnsi"/>
          <w:i/>
        </w:rPr>
      </w:pPr>
    </w:p>
    <w:p w14:paraId="6F50F931" w14:textId="5E9F4608" w:rsidR="00E23C0C" w:rsidRPr="003E1CEB" w:rsidRDefault="00E23C0C" w:rsidP="00C77F9F">
      <w:pPr>
        <w:pStyle w:val="Odstavecseseznamem"/>
        <w:ind w:left="0"/>
        <w:jc w:val="both"/>
        <w:rPr>
          <w:u w:val="single"/>
        </w:rPr>
      </w:pPr>
      <w:r w:rsidRPr="003E1CEB">
        <w:rPr>
          <w:u w:val="single"/>
        </w:rPr>
        <w:t>Základní doporučení:</w:t>
      </w:r>
    </w:p>
    <w:p w14:paraId="1F4E8D54" w14:textId="77777777" w:rsidR="00292167" w:rsidRPr="00DC35BA" w:rsidRDefault="00292167" w:rsidP="00C77F9F">
      <w:pPr>
        <w:pStyle w:val="Odstavecseseznamem"/>
        <w:ind w:left="0"/>
        <w:jc w:val="both"/>
      </w:pPr>
    </w:p>
    <w:p w14:paraId="20CBB858" w14:textId="0A010ECE" w:rsidR="00B50219" w:rsidRDefault="00E23C0C" w:rsidP="007F5475">
      <w:pPr>
        <w:pStyle w:val="Odstavecseseznamem"/>
        <w:numPr>
          <w:ilvl w:val="0"/>
          <w:numId w:val="8"/>
        </w:numPr>
        <w:jc w:val="both"/>
      </w:pPr>
      <w:r w:rsidRPr="00DC35BA">
        <w:t>Přijímání a hodnocení návrhů projektů probíhá v souladu s pravidly nastavenými v rámci vládou schváleného programu účelové podpory</w:t>
      </w:r>
      <w:r w:rsidR="000E374C">
        <w:rPr>
          <w:rStyle w:val="Znakapoznpodarou"/>
        </w:rPr>
        <w:footnoteReference w:id="5"/>
      </w:r>
      <w:r w:rsidR="00BC3298">
        <w:t xml:space="preserve"> a v souladu se </w:t>
      </w:r>
      <w:r w:rsidR="001C39A2">
        <w:t>z</w:t>
      </w:r>
      <w:r w:rsidR="00BC3298">
        <w:t xml:space="preserve">ákonem </w:t>
      </w:r>
      <w:r w:rsidR="00C9161B">
        <w:t xml:space="preserve">č. </w:t>
      </w:r>
      <w:r w:rsidR="00BC3298">
        <w:t>130/2</w:t>
      </w:r>
      <w:r w:rsidR="00166974">
        <w:t>002 Sb.</w:t>
      </w:r>
      <w:r w:rsidRPr="00DC35BA">
        <w:t xml:space="preserve">  Poskytovatel v zadávací dokumentaci</w:t>
      </w:r>
      <w:r>
        <w:t xml:space="preserve"> (podrobný popis viz </w:t>
      </w:r>
      <w:r w:rsidR="0075408B">
        <w:t xml:space="preserve">§ 19 </w:t>
      </w:r>
      <w:r w:rsidR="001C39A2">
        <w:t>z</w:t>
      </w:r>
      <w:r>
        <w:t>ákon</w:t>
      </w:r>
      <w:r w:rsidR="0075408B">
        <w:t>a</w:t>
      </w:r>
      <w:r>
        <w:t xml:space="preserve"> </w:t>
      </w:r>
      <w:r w:rsidR="00C9161B">
        <w:t xml:space="preserve">č. </w:t>
      </w:r>
      <w:r>
        <w:t xml:space="preserve">130/2002 Sb.) </w:t>
      </w:r>
      <w:r w:rsidRPr="00DC35BA">
        <w:t>příslušné veřejné soutěže může stanovit i další podmínky související se zaměřením vyhlašované so</w:t>
      </w:r>
      <w:r>
        <w:t>utěže. Ty musí být známy nejpozději v době vyhlašování veřejné soutěže. P</w:t>
      </w:r>
      <w:r w:rsidRPr="00DC35BA">
        <w:t xml:space="preserve">oskytovatel </w:t>
      </w:r>
      <w:r>
        <w:t xml:space="preserve">nastavené podmínky </w:t>
      </w:r>
      <w:r w:rsidRPr="00DC35BA">
        <w:t>nesmí změnit v průběhu veřejné soutěže a pokud možno ani následně v období realizace projektů, nebrání-li tomu změna legislativy.</w:t>
      </w:r>
    </w:p>
    <w:p w14:paraId="740B1810" w14:textId="59662C49" w:rsidR="00B50219" w:rsidRDefault="00E23C0C" w:rsidP="007F5475">
      <w:pPr>
        <w:pStyle w:val="Odstavecseseznamem"/>
        <w:numPr>
          <w:ilvl w:val="0"/>
          <w:numId w:val="8"/>
        </w:numPr>
        <w:jc w:val="both"/>
      </w:pPr>
      <w:r>
        <w:t xml:space="preserve">Poskytovatel by si </w:t>
      </w:r>
      <w:r w:rsidRPr="00022F5F">
        <w:t xml:space="preserve">měl </w:t>
      </w:r>
      <w:r w:rsidR="00D36385" w:rsidRPr="00796FCE">
        <w:t>zajistit jednoznačný výklad</w:t>
      </w:r>
      <w:r w:rsidR="00792962">
        <w:t xml:space="preserve"> </w:t>
      </w:r>
      <w:r>
        <w:t xml:space="preserve">jednotlivých </w:t>
      </w:r>
      <w:r w:rsidR="00790CB6">
        <w:t>specifických podmínek</w:t>
      </w:r>
      <w:r>
        <w:t xml:space="preserve"> </w:t>
      </w:r>
      <w:r w:rsidR="00790CB6">
        <w:t xml:space="preserve">dané </w:t>
      </w:r>
      <w:r>
        <w:t xml:space="preserve">veřejné soutěže, čímž předejde možným odlišným výkladům. Tento by měl být k dispozici jak hodnotitelům všech úrovní hodnocení, tak i potenciálním </w:t>
      </w:r>
      <w:r w:rsidR="00F30A78" w:rsidRPr="00796FCE">
        <w:t>uchazečům</w:t>
      </w:r>
      <w:r w:rsidR="00F30A78" w:rsidRPr="00022F5F">
        <w:t xml:space="preserve"> </w:t>
      </w:r>
      <w:r w:rsidRPr="00022F5F">
        <w:t>a následně</w:t>
      </w:r>
      <w:r>
        <w:t xml:space="preserve"> příjemcům podpory, nejlépe na w</w:t>
      </w:r>
      <w:r w:rsidR="00B50219">
        <w:t>ebových stránkách poskytovatele.</w:t>
      </w:r>
    </w:p>
    <w:p w14:paraId="52DE5E70" w14:textId="1D8953DA" w:rsidR="00E23C0C" w:rsidRDefault="00E23C0C" w:rsidP="007F5475">
      <w:pPr>
        <w:pStyle w:val="Odstavecseseznamem"/>
        <w:numPr>
          <w:ilvl w:val="0"/>
          <w:numId w:val="8"/>
        </w:numPr>
        <w:jc w:val="both"/>
      </w:pPr>
      <w:r w:rsidRPr="00DC35BA">
        <w:t xml:space="preserve">Poskytovatel je </w:t>
      </w:r>
      <w:r w:rsidR="000E374C">
        <w:t xml:space="preserve">ze zákona </w:t>
      </w:r>
      <w:r w:rsidRPr="00DC35BA">
        <w:t>povinen zveřejnit veškeré podmínky veřejné soutěž</w:t>
      </w:r>
      <w:r w:rsidR="00FA53FC">
        <w:t>e</w:t>
      </w:r>
      <w:r w:rsidRPr="00DC35BA">
        <w:t>.</w:t>
      </w:r>
      <w:r w:rsidR="00E01D8E">
        <w:t xml:space="preserve"> </w:t>
      </w:r>
      <w:r w:rsidRPr="00DC35BA">
        <w:t>Jednou z</w:t>
      </w:r>
      <w:r w:rsidR="00804D9A">
        <w:t> </w:t>
      </w:r>
      <w:r w:rsidRPr="00DC35BA">
        <w:t>nejdůležitějších částí je popis způsobu a postupu hodnocení a výběru projektů včetně základního výčtu hodnotících kritérií. Tyto části jsou podstatné</w:t>
      </w:r>
      <w:r>
        <w:t xml:space="preserve"> pro hodnotitele </w:t>
      </w:r>
      <w:r w:rsidRPr="00022F5F">
        <w:t xml:space="preserve">i </w:t>
      </w:r>
      <w:r w:rsidR="003B4E5B" w:rsidRPr="00796FCE">
        <w:t>uchazeče</w:t>
      </w:r>
      <w:r w:rsidRPr="00796FCE">
        <w:t>,</w:t>
      </w:r>
      <w:r w:rsidRPr="00DC35BA">
        <w:t xml:space="preserve"> neboť dávají celkový obraz nejen o nastavení a cílech </w:t>
      </w:r>
      <w:r w:rsidR="00AC336D" w:rsidRPr="00792962">
        <w:rPr>
          <w:i/>
          <w:iCs/>
        </w:rPr>
        <w:t>veřejné soutěže</w:t>
      </w:r>
      <w:r w:rsidRPr="00DC35BA">
        <w:t>, ale mu</w:t>
      </w:r>
      <w:r w:rsidR="00FA53FC">
        <w:t>sí být v souladu i</w:t>
      </w:r>
      <w:r w:rsidR="00804D9A">
        <w:t> </w:t>
      </w:r>
      <w:r w:rsidR="00FA53FC">
        <w:t>s příslušným</w:t>
      </w:r>
      <w:r w:rsidRPr="00DC35BA">
        <w:t xml:space="preserve"> programem.</w:t>
      </w:r>
    </w:p>
    <w:p w14:paraId="39E43C40" w14:textId="1B3995C8" w:rsidR="00FA53FC" w:rsidRDefault="00E23C0C" w:rsidP="007F5475">
      <w:pPr>
        <w:pStyle w:val="Odstavecseseznamem"/>
        <w:numPr>
          <w:ilvl w:val="0"/>
          <w:numId w:val="8"/>
        </w:numPr>
        <w:jc w:val="both"/>
      </w:pPr>
      <w:r w:rsidRPr="00DC35BA">
        <w:t>Vybírány by měly být jen takové projekty, které v maximální míře přispívají ke splnění cílů programu</w:t>
      </w:r>
      <w:r w:rsidR="003E33D1">
        <w:t xml:space="preserve"> a</w:t>
      </w:r>
      <w:r w:rsidR="003E33D1" w:rsidRPr="003E33D1">
        <w:t xml:space="preserve"> jsou vybírány v souladu se zásadami efektivnosti, hospodárnosti a účelnosti.</w:t>
      </w:r>
    </w:p>
    <w:p w14:paraId="3AF41D70" w14:textId="39FEE301" w:rsidR="00E23C0C" w:rsidRPr="00FA53FC" w:rsidRDefault="00E23C0C" w:rsidP="007F5475">
      <w:pPr>
        <w:pStyle w:val="Odstavecseseznamem"/>
        <w:numPr>
          <w:ilvl w:val="0"/>
          <w:numId w:val="8"/>
        </w:numPr>
        <w:jc w:val="both"/>
      </w:pPr>
      <w:r>
        <w:t>Poskytovatel je oprávněn shromažďovat potřebné údaje o návrzích projektů a uchazečích včetně osobních údajů jak v písemné, tak v elektronické podobě. Jejich rozsah určených ke</w:t>
      </w:r>
      <w:r w:rsidR="00804D9A">
        <w:t> </w:t>
      </w:r>
      <w:r>
        <w:t>zveřejnění musí poskytovatel vymezit v zadávací dokumentaci.</w:t>
      </w:r>
    </w:p>
    <w:p w14:paraId="421A1E31" w14:textId="7B60B492" w:rsidR="00E23C0C" w:rsidRDefault="00E23C0C" w:rsidP="007F5475">
      <w:pPr>
        <w:pStyle w:val="Odstavecseseznamem"/>
        <w:numPr>
          <w:ilvl w:val="0"/>
          <w:numId w:val="8"/>
        </w:numPr>
        <w:jc w:val="both"/>
      </w:pPr>
      <w:r w:rsidRPr="00AF122A">
        <w:lastRenderedPageBreak/>
        <w:t>Poskytovatel je povinen dodržet soutěžní a hodnotící lhůty</w:t>
      </w:r>
      <w:r>
        <w:t xml:space="preserve"> tak, aby odpovídaly</w:t>
      </w:r>
      <w:r w:rsidRPr="00AF122A">
        <w:t xml:space="preserve"> podmínkám stanoveným v </w:t>
      </w:r>
      <w:r w:rsidR="00124104" w:rsidRPr="00AF122A">
        <w:t>§ 20</w:t>
      </w:r>
      <w:r w:rsidR="00124104">
        <w:t xml:space="preserve"> </w:t>
      </w:r>
      <w:r w:rsidR="001C39A2">
        <w:t>z</w:t>
      </w:r>
      <w:r w:rsidR="00124104">
        <w:t xml:space="preserve">ákona </w:t>
      </w:r>
      <w:r w:rsidR="00C9161B">
        <w:t xml:space="preserve">č. </w:t>
      </w:r>
      <w:r w:rsidR="00124104">
        <w:t>130/2002 Sb.  Z</w:t>
      </w:r>
      <w:r w:rsidR="00FA53FC">
        <w:t>ákon neumožňuje prodloužení lhůt</w:t>
      </w:r>
      <w:r w:rsidRPr="00AF122A">
        <w:t>.</w:t>
      </w:r>
    </w:p>
    <w:p w14:paraId="5DC220C8" w14:textId="5F7B35B7" w:rsidR="00E16608" w:rsidRDefault="00E23C0C" w:rsidP="007F5475">
      <w:pPr>
        <w:pStyle w:val="Odstavecseseznamem"/>
        <w:numPr>
          <w:ilvl w:val="0"/>
          <w:numId w:val="8"/>
        </w:numPr>
        <w:jc w:val="both"/>
      </w:pPr>
      <w:r>
        <w:t>S</w:t>
      </w:r>
      <w:r w:rsidRPr="00105D5F">
        <w:t>plnění cílů prog</w:t>
      </w:r>
      <w:r>
        <w:t>ramu</w:t>
      </w:r>
      <w:r w:rsidRPr="00105D5F">
        <w:t xml:space="preserve"> závisí na zacílení a aktivitách podpořených projekt</w:t>
      </w:r>
      <w:r>
        <w:t>ů. A proto nastavená</w:t>
      </w:r>
      <w:r w:rsidRPr="00105D5F">
        <w:t xml:space="preserve"> kritéria pro hodnocení a výběr projektů musí mít přímou vazbu k cílům prog</w:t>
      </w:r>
      <w:r>
        <w:t>ramu</w:t>
      </w:r>
      <w:r w:rsidRPr="00105D5F">
        <w:t>.  Hodnotící a</w:t>
      </w:r>
      <w:r w:rsidR="00804D9A">
        <w:t> </w:t>
      </w:r>
      <w:r w:rsidRPr="00105D5F">
        <w:t>výběrová kritéria se mohou lišit podle zaměření konkrétní veřejné so</w:t>
      </w:r>
      <w:r>
        <w:t>utěže.</w:t>
      </w:r>
      <w:r w:rsidRPr="00105D5F">
        <w:t xml:space="preserve"> Konkrétní hodnotící kritéria s příslušnou bodovou škálou uvede</w:t>
      </w:r>
      <w:r>
        <w:t xml:space="preserve"> poskytovatel</w:t>
      </w:r>
      <w:r w:rsidRPr="00105D5F">
        <w:t xml:space="preserve"> v zadávací dokumentaci k</w:t>
      </w:r>
      <w:r w:rsidR="00804D9A">
        <w:t> </w:t>
      </w:r>
      <w:r w:rsidRPr="00105D5F">
        <w:t>veřejné soutěži.</w:t>
      </w:r>
    </w:p>
    <w:p w14:paraId="7B708A78" w14:textId="66EAA27A" w:rsidR="00E16608" w:rsidRDefault="00E16608" w:rsidP="007F5475">
      <w:pPr>
        <w:pStyle w:val="Nadpis3"/>
        <w:numPr>
          <w:ilvl w:val="2"/>
          <w:numId w:val="19"/>
        </w:numPr>
      </w:pPr>
      <w:bookmarkStart w:id="27" w:name="_Toc195063173"/>
      <w:bookmarkStart w:id="28" w:name="_Toc195087071"/>
      <w:bookmarkStart w:id="29" w:name="_Toc195184946"/>
      <w:r>
        <w:t>Systém hodnocení návrhů projektů</w:t>
      </w:r>
      <w:bookmarkEnd w:id="27"/>
      <w:bookmarkEnd w:id="28"/>
      <w:bookmarkEnd w:id="29"/>
    </w:p>
    <w:p w14:paraId="4E5DEEFE" w14:textId="47FC4863" w:rsidR="00021ECE" w:rsidRPr="0076127A" w:rsidRDefault="00021ECE" w:rsidP="00C77F9F">
      <w:pPr>
        <w:jc w:val="both"/>
      </w:pPr>
      <w:r w:rsidRPr="00022F5F">
        <w:t xml:space="preserve">Poskytovatel </w:t>
      </w:r>
      <w:r w:rsidR="00553871" w:rsidRPr="00796FCE">
        <w:t>podpory</w:t>
      </w:r>
      <w:r w:rsidR="00553871" w:rsidRPr="00022F5F">
        <w:t xml:space="preserve"> </w:t>
      </w:r>
      <w:r w:rsidRPr="00022F5F">
        <w:t>podle</w:t>
      </w:r>
      <w:r w:rsidRPr="0076127A">
        <w:t xml:space="preserve"> </w:t>
      </w:r>
      <w:r w:rsidR="00124104" w:rsidRPr="0076127A">
        <w:t xml:space="preserve">§ 21 </w:t>
      </w:r>
      <w:r w:rsidR="001C39A2">
        <w:t>z</w:t>
      </w:r>
      <w:r w:rsidRPr="0076127A">
        <w:t xml:space="preserve">ákona </w:t>
      </w:r>
      <w:r w:rsidR="00C9161B">
        <w:t xml:space="preserve">č. </w:t>
      </w:r>
      <w:r w:rsidRPr="0076127A">
        <w:t>130/2002 Sb., má několik základních povinností</w:t>
      </w:r>
      <w:r w:rsidR="006262D6">
        <w:t>,</w:t>
      </w:r>
      <w:r w:rsidRPr="0076127A">
        <w:t xml:space="preserve"> a to zajištění komise pro přijímání návrhů projektů, sestavení odborného poradního orgánu a dostatečného počtu oponentů. Tyto jednotlivé komise, orgány, včetně i hodnotitelů, mají základní povinnosti dány výše uvedeným zákonem. Konkretizaci podmínek jednotlivých poskytovatelů je nutné realizovat v následných dokumentech, kterými mohou být statut</w:t>
      </w:r>
      <w:r w:rsidR="00690311">
        <w:t xml:space="preserve"> </w:t>
      </w:r>
      <w:r w:rsidR="00E759FE">
        <w:t>nebo jiný vnitřní předpis</w:t>
      </w:r>
      <w:r w:rsidRPr="0076127A">
        <w:t xml:space="preserve"> a etické kodexy.</w:t>
      </w:r>
    </w:p>
    <w:p w14:paraId="78C116CE" w14:textId="77777777" w:rsidR="00021ECE" w:rsidRPr="0077493A" w:rsidRDefault="00021ECE" w:rsidP="00021ECE">
      <w:pPr>
        <w:rPr>
          <w:u w:val="single"/>
        </w:rPr>
      </w:pPr>
      <w:r w:rsidRPr="0077493A">
        <w:rPr>
          <w:u w:val="single"/>
        </w:rPr>
        <w:t>Základní doporučení:</w:t>
      </w:r>
    </w:p>
    <w:p w14:paraId="2294D792" w14:textId="6045F139" w:rsidR="00021ECE" w:rsidRPr="002E310B" w:rsidRDefault="00021ECE" w:rsidP="007F5475">
      <w:pPr>
        <w:pStyle w:val="Odstavecseseznamem"/>
        <w:numPr>
          <w:ilvl w:val="0"/>
          <w:numId w:val="9"/>
        </w:numPr>
        <w:ind w:left="709"/>
        <w:jc w:val="both"/>
        <w:rPr>
          <w:bCs/>
        </w:rPr>
      </w:pPr>
      <w:r w:rsidRPr="002E310B">
        <w:rPr>
          <w:bCs/>
        </w:rPr>
        <w:t xml:space="preserve">Zajistit příslušné odborníky nejčastěji z řad </w:t>
      </w:r>
      <w:r w:rsidRPr="00022F5F">
        <w:rPr>
          <w:bCs/>
        </w:rPr>
        <w:t xml:space="preserve">poskytovatele </w:t>
      </w:r>
      <w:r w:rsidR="0009355C" w:rsidRPr="00796FCE">
        <w:rPr>
          <w:bCs/>
        </w:rPr>
        <w:t>podpory</w:t>
      </w:r>
      <w:r w:rsidR="0009355C" w:rsidRPr="002E310B">
        <w:rPr>
          <w:bCs/>
        </w:rPr>
        <w:t xml:space="preserve"> </w:t>
      </w:r>
      <w:r w:rsidRPr="002E310B">
        <w:rPr>
          <w:bCs/>
        </w:rPr>
        <w:t xml:space="preserve">pro </w:t>
      </w:r>
      <w:r w:rsidRPr="002E310B">
        <w:rPr>
          <w:b/>
          <w:bCs/>
        </w:rPr>
        <w:t>komisi pro přijímání návrhů projektů</w:t>
      </w:r>
      <w:r w:rsidRPr="002E310B">
        <w:rPr>
          <w:bCs/>
        </w:rPr>
        <w:t xml:space="preserve"> a v rámci </w:t>
      </w:r>
      <w:r w:rsidR="00E759FE" w:rsidRPr="00E759FE">
        <w:rPr>
          <w:bCs/>
        </w:rPr>
        <w:t>statut</w:t>
      </w:r>
      <w:r w:rsidR="00E759FE">
        <w:rPr>
          <w:bCs/>
        </w:rPr>
        <w:t>u</w:t>
      </w:r>
      <w:r w:rsidR="00690311">
        <w:rPr>
          <w:bCs/>
        </w:rPr>
        <w:t xml:space="preserve"> </w:t>
      </w:r>
      <w:r w:rsidR="00E759FE" w:rsidRPr="00E759FE">
        <w:rPr>
          <w:bCs/>
        </w:rPr>
        <w:t>nebo jin</w:t>
      </w:r>
      <w:r w:rsidR="00E759FE">
        <w:rPr>
          <w:bCs/>
        </w:rPr>
        <w:t>ého</w:t>
      </w:r>
      <w:r w:rsidR="00E759FE" w:rsidRPr="00E759FE">
        <w:rPr>
          <w:bCs/>
        </w:rPr>
        <w:t xml:space="preserve"> vnitřní</w:t>
      </w:r>
      <w:r w:rsidR="00E759FE">
        <w:rPr>
          <w:bCs/>
        </w:rPr>
        <w:t>ho</w:t>
      </w:r>
      <w:r w:rsidR="00E759FE" w:rsidRPr="00E759FE">
        <w:rPr>
          <w:bCs/>
        </w:rPr>
        <w:t xml:space="preserve"> předpis</w:t>
      </w:r>
      <w:r w:rsidR="00E759FE">
        <w:rPr>
          <w:bCs/>
        </w:rPr>
        <w:t>u</w:t>
      </w:r>
      <w:r w:rsidR="00D70CF5">
        <w:rPr>
          <w:bCs/>
        </w:rPr>
        <w:t xml:space="preserve"> </w:t>
      </w:r>
      <w:r w:rsidRPr="002E310B">
        <w:rPr>
          <w:bCs/>
        </w:rPr>
        <w:t>stanovit základní zásady práce této komise, povinnosti jejích členů, včetně vymezení jejich nepodjatosti v rámci etického kodexu.</w:t>
      </w:r>
    </w:p>
    <w:p w14:paraId="431EC3E5" w14:textId="14F157CE" w:rsidR="00021ECE" w:rsidRPr="002E310B" w:rsidRDefault="00021ECE" w:rsidP="007F5475">
      <w:pPr>
        <w:pStyle w:val="Odstavecseseznamem"/>
        <w:numPr>
          <w:ilvl w:val="0"/>
          <w:numId w:val="9"/>
        </w:numPr>
        <w:ind w:left="709"/>
        <w:jc w:val="both"/>
        <w:rPr>
          <w:bCs/>
        </w:rPr>
      </w:pPr>
      <w:r w:rsidRPr="002E310B">
        <w:rPr>
          <w:bCs/>
        </w:rPr>
        <w:t xml:space="preserve">Ustanovit pro hodnocení návrhů projektů </w:t>
      </w:r>
      <w:r w:rsidRPr="002E310B">
        <w:rPr>
          <w:b/>
          <w:bCs/>
        </w:rPr>
        <w:t>odborný poradní orgán</w:t>
      </w:r>
      <w:r w:rsidRPr="002E310B">
        <w:rPr>
          <w:bCs/>
        </w:rPr>
        <w:t xml:space="preserve"> z odborníků pok</w:t>
      </w:r>
      <w:r>
        <w:rPr>
          <w:bCs/>
        </w:rPr>
        <w:t>rývajících oblast poskytování účelové podpory</w:t>
      </w:r>
      <w:r w:rsidRPr="002E310B">
        <w:rPr>
          <w:bCs/>
        </w:rPr>
        <w:t xml:space="preserve"> a v rámci statutu</w:t>
      </w:r>
      <w:r w:rsidR="00690311">
        <w:rPr>
          <w:bCs/>
        </w:rPr>
        <w:t xml:space="preserve"> </w:t>
      </w:r>
      <w:r w:rsidR="00E759FE" w:rsidRPr="00E759FE">
        <w:rPr>
          <w:bCs/>
        </w:rPr>
        <w:t>nebo jin</w:t>
      </w:r>
      <w:r w:rsidR="00E759FE">
        <w:rPr>
          <w:bCs/>
        </w:rPr>
        <w:t>ého</w:t>
      </w:r>
      <w:r w:rsidR="00E759FE" w:rsidRPr="00E759FE">
        <w:rPr>
          <w:bCs/>
        </w:rPr>
        <w:t xml:space="preserve"> vnitřní</w:t>
      </w:r>
      <w:r w:rsidR="00E759FE">
        <w:rPr>
          <w:bCs/>
        </w:rPr>
        <w:t>ho</w:t>
      </w:r>
      <w:r w:rsidR="00E759FE" w:rsidRPr="00E759FE">
        <w:rPr>
          <w:bCs/>
        </w:rPr>
        <w:t xml:space="preserve"> předpis</w:t>
      </w:r>
      <w:r w:rsidR="00E759FE">
        <w:rPr>
          <w:bCs/>
        </w:rPr>
        <w:t>u</w:t>
      </w:r>
      <w:r w:rsidRPr="002E310B">
        <w:rPr>
          <w:bCs/>
        </w:rPr>
        <w:t xml:space="preserve"> </w:t>
      </w:r>
      <w:r w:rsidR="006A2AF9">
        <w:rPr>
          <w:bCs/>
        </w:rPr>
        <w:t xml:space="preserve">stanovit základní zásady práce </w:t>
      </w:r>
      <w:r w:rsidRPr="002E310B">
        <w:rPr>
          <w:bCs/>
        </w:rPr>
        <w:t>komise, povinnosti jejích členů; vymezení jejich nepodjatosti v rámci etického kodexu.</w:t>
      </w:r>
    </w:p>
    <w:p w14:paraId="0E4E0974" w14:textId="1732790A" w:rsidR="00021ECE" w:rsidRDefault="00021ECE" w:rsidP="007F5475">
      <w:pPr>
        <w:pStyle w:val="Odstavecseseznamem"/>
        <w:numPr>
          <w:ilvl w:val="0"/>
          <w:numId w:val="9"/>
        </w:numPr>
        <w:ind w:left="709"/>
        <w:jc w:val="both"/>
        <w:rPr>
          <w:bCs/>
        </w:rPr>
      </w:pPr>
      <w:r w:rsidRPr="002E310B">
        <w:rPr>
          <w:bCs/>
        </w:rPr>
        <w:t xml:space="preserve">Zajistit dostatečný počet </w:t>
      </w:r>
      <w:r w:rsidRPr="00A71197">
        <w:rPr>
          <w:b/>
          <w:bCs/>
        </w:rPr>
        <w:t>hodnotitelů,</w:t>
      </w:r>
      <w:r w:rsidR="006A2AF9">
        <w:rPr>
          <w:bCs/>
        </w:rPr>
        <w:t xml:space="preserve"> </w:t>
      </w:r>
      <w:r w:rsidRPr="002E310B">
        <w:rPr>
          <w:bCs/>
        </w:rPr>
        <w:t>aby pro každý návrh projektu byl</w:t>
      </w:r>
      <w:r w:rsidR="009A21E9">
        <w:rPr>
          <w:bCs/>
        </w:rPr>
        <w:t>i</w:t>
      </w:r>
      <w:r w:rsidRPr="002E310B">
        <w:rPr>
          <w:bCs/>
        </w:rPr>
        <w:t xml:space="preserve"> nejméně 2</w:t>
      </w:r>
      <w:r w:rsidR="00804D9A">
        <w:rPr>
          <w:bCs/>
        </w:rPr>
        <w:t> </w:t>
      </w:r>
      <w:r w:rsidRPr="002E310B">
        <w:rPr>
          <w:bCs/>
        </w:rPr>
        <w:t>hodnotitelé s odpovídajícím odborným zaměřením; v</w:t>
      </w:r>
      <w:r w:rsidRPr="002E310B">
        <w:t xml:space="preserve"> </w:t>
      </w:r>
      <w:r w:rsidRPr="002E310B">
        <w:rPr>
          <w:bCs/>
        </w:rPr>
        <w:t>rámci statutu</w:t>
      </w:r>
      <w:r w:rsidR="00690311">
        <w:rPr>
          <w:bCs/>
        </w:rPr>
        <w:t xml:space="preserve"> </w:t>
      </w:r>
      <w:r w:rsidR="00E759FE" w:rsidRPr="00E759FE">
        <w:rPr>
          <w:bCs/>
        </w:rPr>
        <w:t>nebo jin</w:t>
      </w:r>
      <w:r w:rsidR="00E759FE">
        <w:rPr>
          <w:bCs/>
        </w:rPr>
        <w:t>ého</w:t>
      </w:r>
      <w:r w:rsidR="00E759FE" w:rsidRPr="00E759FE">
        <w:rPr>
          <w:bCs/>
        </w:rPr>
        <w:t xml:space="preserve"> vnitřní</w:t>
      </w:r>
      <w:r w:rsidR="00E759FE">
        <w:rPr>
          <w:bCs/>
        </w:rPr>
        <w:t>ho</w:t>
      </w:r>
      <w:r w:rsidR="00E759FE" w:rsidRPr="00E759FE">
        <w:rPr>
          <w:bCs/>
        </w:rPr>
        <w:t xml:space="preserve"> předpis</w:t>
      </w:r>
      <w:r w:rsidR="00E759FE">
        <w:rPr>
          <w:bCs/>
        </w:rPr>
        <w:t>u</w:t>
      </w:r>
      <w:r w:rsidRPr="002E310B">
        <w:rPr>
          <w:bCs/>
        </w:rPr>
        <w:t xml:space="preserve"> stanovit základní pravidla pro výběr oponentů, jejich povinnosti. Zohlednit </w:t>
      </w:r>
      <w:r>
        <w:rPr>
          <w:bCs/>
        </w:rPr>
        <w:t xml:space="preserve">při výběru hodnotitelů i </w:t>
      </w:r>
      <w:r w:rsidRPr="002E310B">
        <w:rPr>
          <w:bCs/>
        </w:rPr>
        <w:t>různé typy projektů, tj. odlišnosti mezi projekty zák</w:t>
      </w:r>
      <w:r>
        <w:rPr>
          <w:bCs/>
        </w:rPr>
        <w:t>ladního, aplikovaného výzkumu,</w:t>
      </w:r>
      <w:r w:rsidRPr="002E310B">
        <w:rPr>
          <w:bCs/>
        </w:rPr>
        <w:t xml:space="preserve"> inovací</w:t>
      </w:r>
      <w:r>
        <w:rPr>
          <w:bCs/>
        </w:rPr>
        <w:t xml:space="preserve"> či interdisciplinární projekty</w:t>
      </w:r>
      <w:r w:rsidR="002544B0">
        <w:rPr>
          <w:bCs/>
        </w:rPr>
        <w:t>. Zároveň zohlednit i rozsah projektů</w:t>
      </w:r>
      <w:r w:rsidR="004F06F8">
        <w:rPr>
          <w:bCs/>
        </w:rPr>
        <w:t>, neboť některé mohou být zaměřené např. na spolupráci několika vědních oblastí a mohou tak být věcně i finančně náročnější, což se odráží i</w:t>
      </w:r>
      <w:r w:rsidR="00804D9A">
        <w:rPr>
          <w:bCs/>
        </w:rPr>
        <w:t> </w:t>
      </w:r>
      <w:r w:rsidR="004F06F8">
        <w:rPr>
          <w:bCs/>
        </w:rPr>
        <w:t xml:space="preserve">v náročnosti jejich hodnocení. </w:t>
      </w:r>
      <w:r w:rsidRPr="002E310B">
        <w:rPr>
          <w:bCs/>
        </w:rPr>
        <w:t xml:space="preserve"> </w:t>
      </w:r>
    </w:p>
    <w:p w14:paraId="460878D6" w14:textId="0E741BB9" w:rsidR="00021ECE" w:rsidRPr="00022F5F" w:rsidRDefault="00021ECE" w:rsidP="007F5475">
      <w:pPr>
        <w:pStyle w:val="Odstavecseseznamem"/>
        <w:numPr>
          <w:ilvl w:val="0"/>
          <w:numId w:val="9"/>
        </w:numPr>
        <w:ind w:left="709"/>
        <w:jc w:val="both"/>
        <w:rPr>
          <w:bCs/>
        </w:rPr>
      </w:pPr>
      <w:r w:rsidRPr="002E310B">
        <w:rPr>
          <w:bCs/>
        </w:rPr>
        <w:t>Všechny osoby podílející se na hodnocení návrhů projektů nesmí být ve vztahu k předmětu veřejné soutěže ve VVI nebo k</w:t>
      </w:r>
      <w:r w:rsidR="00296164">
        <w:rPr>
          <w:bCs/>
        </w:rPr>
        <w:t> </w:t>
      </w:r>
      <w:r w:rsidRPr="002E310B">
        <w:rPr>
          <w:bCs/>
        </w:rPr>
        <w:t>uchazečům</w:t>
      </w:r>
      <w:r w:rsidR="00296164">
        <w:rPr>
          <w:bCs/>
        </w:rPr>
        <w:t xml:space="preserve"> </w:t>
      </w:r>
      <w:r w:rsidRPr="002E310B">
        <w:rPr>
          <w:bCs/>
        </w:rPr>
        <w:t xml:space="preserve">podjatí, zejména se nesmí podílet na zpracování projektu, nesmí mít osobní zájem na rozhodnutí o poskytnutí podpory určitému projektu a s uchazeči je nesmí spojovat osobní ani pracovní či jiný obdobný poměr.  </w:t>
      </w:r>
      <w:r w:rsidRPr="00296164">
        <w:rPr>
          <w:bCs/>
        </w:rPr>
        <w:t>Nastane-li u některé osoby podílející s</w:t>
      </w:r>
      <w:r w:rsidR="0075464F">
        <w:rPr>
          <w:bCs/>
        </w:rPr>
        <w:t xml:space="preserve">e na hodnocení návrhů projektů </w:t>
      </w:r>
      <w:r w:rsidRPr="00296164">
        <w:rPr>
          <w:bCs/>
        </w:rPr>
        <w:t>střet zájmů, oznámí neprodleně toto nadřízenému pracovníkovi, resp. osobě zadávající hodnocení příslušného návrhu projektu. Uvedené podmínky střetu zájmů je nutné uvést např. v etickém kodexu pro příslušnou skupinu hodnotitelů, nemá-li poskytovatel vy</w:t>
      </w:r>
      <w:r w:rsidRPr="00782FA9">
        <w:rPr>
          <w:bCs/>
        </w:rPr>
        <w:t>tvořený obecný etický kodex pro všechny skupiny hodnotitelů</w:t>
      </w:r>
      <w:r w:rsidR="00ED2A3F">
        <w:rPr>
          <w:bCs/>
        </w:rPr>
        <w:t>.</w:t>
      </w:r>
    </w:p>
    <w:p w14:paraId="4E107605" w14:textId="4AF29A89" w:rsidR="00021ECE" w:rsidRPr="00A71197" w:rsidRDefault="00021ECE" w:rsidP="007F5475">
      <w:pPr>
        <w:pStyle w:val="Odstavecseseznamem"/>
        <w:numPr>
          <w:ilvl w:val="0"/>
          <w:numId w:val="9"/>
        </w:numPr>
        <w:ind w:left="709"/>
        <w:jc w:val="both"/>
        <w:rPr>
          <w:bCs/>
        </w:rPr>
      </w:pPr>
      <w:r w:rsidRPr="002E310B">
        <w:rPr>
          <w:bCs/>
        </w:rPr>
        <w:t xml:space="preserve">Základní pravidla pro výběr hodnotitelů si poskytovatel </w:t>
      </w:r>
      <w:r w:rsidR="00692ACF" w:rsidRPr="00796FCE">
        <w:rPr>
          <w:bCs/>
        </w:rPr>
        <w:t>účelové podpory</w:t>
      </w:r>
      <w:r w:rsidR="00692ACF" w:rsidRPr="00ED2A3F">
        <w:rPr>
          <w:bCs/>
        </w:rPr>
        <w:t xml:space="preserve"> </w:t>
      </w:r>
      <w:r w:rsidRPr="00ED2A3F">
        <w:rPr>
          <w:bCs/>
        </w:rPr>
        <w:t>nastavuje</w:t>
      </w:r>
      <w:r w:rsidRPr="002E310B">
        <w:rPr>
          <w:bCs/>
        </w:rPr>
        <w:t xml:space="preserve"> ve statutech</w:t>
      </w:r>
      <w:r w:rsidR="00690311">
        <w:rPr>
          <w:bCs/>
        </w:rPr>
        <w:t xml:space="preserve"> </w:t>
      </w:r>
      <w:r w:rsidR="00E759FE" w:rsidRPr="00E759FE">
        <w:rPr>
          <w:bCs/>
        </w:rPr>
        <w:t>nebo jin</w:t>
      </w:r>
      <w:r w:rsidR="00E759FE">
        <w:rPr>
          <w:bCs/>
        </w:rPr>
        <w:t>ých</w:t>
      </w:r>
      <w:r w:rsidR="00E759FE" w:rsidRPr="00E759FE">
        <w:rPr>
          <w:bCs/>
        </w:rPr>
        <w:t xml:space="preserve"> vnitřní</w:t>
      </w:r>
      <w:r w:rsidR="00E759FE">
        <w:rPr>
          <w:bCs/>
        </w:rPr>
        <w:t>ch</w:t>
      </w:r>
      <w:r w:rsidR="00E759FE" w:rsidRPr="00E759FE">
        <w:rPr>
          <w:bCs/>
        </w:rPr>
        <w:t xml:space="preserve"> předpis</w:t>
      </w:r>
      <w:r w:rsidR="00E759FE">
        <w:rPr>
          <w:bCs/>
        </w:rPr>
        <w:t>ech</w:t>
      </w:r>
      <w:r w:rsidRPr="002E310B">
        <w:rPr>
          <w:bCs/>
        </w:rPr>
        <w:t xml:space="preserve"> pro jednotlivé fáze výběru</w:t>
      </w:r>
      <w:r>
        <w:rPr>
          <w:bCs/>
        </w:rPr>
        <w:t>, kde uvádí základní</w:t>
      </w:r>
      <w:r w:rsidRPr="002E310B">
        <w:rPr>
          <w:bCs/>
        </w:rPr>
        <w:t xml:space="preserve"> kritéria pro jejich výběr u různých </w:t>
      </w:r>
      <w:r>
        <w:rPr>
          <w:bCs/>
        </w:rPr>
        <w:t>typů projektů. Pro konkrétní veřejnou soutěž může ve svých dokumentech</w:t>
      </w:r>
      <w:r w:rsidR="00692ACF">
        <w:rPr>
          <w:bCs/>
        </w:rPr>
        <w:t xml:space="preserve"> </w:t>
      </w:r>
      <w:r w:rsidR="00692ACF" w:rsidRPr="00796FCE">
        <w:rPr>
          <w:bCs/>
        </w:rPr>
        <w:t>k této soutěži</w:t>
      </w:r>
      <w:r w:rsidRPr="00ED2A3F">
        <w:rPr>
          <w:bCs/>
        </w:rPr>
        <w:t xml:space="preserve"> dále</w:t>
      </w:r>
      <w:r>
        <w:rPr>
          <w:bCs/>
        </w:rPr>
        <w:t xml:space="preserve"> specifikovat požadavky na zaměření hodnotitelů.</w:t>
      </w:r>
    </w:p>
    <w:p w14:paraId="688C7435" w14:textId="065A226B" w:rsidR="00021ECE" w:rsidRPr="00527274" w:rsidRDefault="00021ECE" w:rsidP="007F5475">
      <w:pPr>
        <w:pStyle w:val="Odstavecseseznamem"/>
        <w:numPr>
          <w:ilvl w:val="0"/>
          <w:numId w:val="9"/>
        </w:numPr>
        <w:ind w:left="709"/>
        <w:jc w:val="both"/>
        <w:rPr>
          <w:bCs/>
        </w:rPr>
      </w:pPr>
      <w:r>
        <w:rPr>
          <w:bCs/>
        </w:rPr>
        <w:t xml:space="preserve">V zájmu poskytovatele je vytvořit </w:t>
      </w:r>
      <w:r w:rsidRPr="005F4722">
        <w:rPr>
          <w:b/>
          <w:bCs/>
        </w:rPr>
        <w:t>kodex hodnotitele</w:t>
      </w:r>
      <w:r>
        <w:rPr>
          <w:bCs/>
        </w:rPr>
        <w:t>, kde rozpracuje základní zásady pro práci hodnotitelů jednak při hodnocení žádostí, ale i při vyhodnocování výstupů a</w:t>
      </w:r>
      <w:r w:rsidR="00804D9A">
        <w:rPr>
          <w:bCs/>
        </w:rPr>
        <w:t> </w:t>
      </w:r>
      <w:r>
        <w:rPr>
          <w:bCs/>
        </w:rPr>
        <w:t>výsled</w:t>
      </w:r>
      <w:r w:rsidR="009A21E9">
        <w:rPr>
          <w:bCs/>
        </w:rPr>
        <w:t>k</w:t>
      </w:r>
      <w:r>
        <w:rPr>
          <w:bCs/>
        </w:rPr>
        <w:t xml:space="preserve">ů realizovaných projektů. Zároveň je vhodné v souvislosti s každou veřejnou soutěží zrealizovat proškolení hodnotitelů. Forma školení závisí na poskytovateli a také na nastavených kritériích, </w:t>
      </w:r>
      <w:r>
        <w:rPr>
          <w:bCs/>
        </w:rPr>
        <w:lastRenderedPageBreak/>
        <w:t>ale i časových možnostech hodnotitelů.</w:t>
      </w:r>
      <w:r w:rsidRPr="002E310B">
        <w:rPr>
          <w:bCs/>
        </w:rPr>
        <w:t xml:space="preserve"> </w:t>
      </w:r>
      <w:r>
        <w:rPr>
          <w:bCs/>
        </w:rPr>
        <w:t>Součástí kodexu může být i systém o</w:t>
      </w:r>
      <w:r w:rsidRPr="00527274">
        <w:rPr>
          <w:bCs/>
        </w:rPr>
        <w:t>dměňování hodnotitelů</w:t>
      </w:r>
      <w:r>
        <w:rPr>
          <w:bCs/>
        </w:rPr>
        <w:t>, který</w:t>
      </w:r>
      <w:r w:rsidRPr="00527274">
        <w:rPr>
          <w:bCs/>
        </w:rPr>
        <w:t xml:space="preserve"> je v kompetenci poskytovatelů účelové podpory</w:t>
      </w:r>
      <w:r>
        <w:rPr>
          <w:bCs/>
        </w:rPr>
        <w:t xml:space="preserve"> (zejména forma odměňování), není-li toto nastaveno v samostatném dokumentu.</w:t>
      </w:r>
    </w:p>
    <w:p w14:paraId="6F52FFA6" w14:textId="19BC910E" w:rsidR="00021ECE" w:rsidRDefault="00021ECE" w:rsidP="007F5475">
      <w:pPr>
        <w:pStyle w:val="Odstavecseseznamem"/>
        <w:numPr>
          <w:ilvl w:val="0"/>
          <w:numId w:val="8"/>
        </w:numPr>
        <w:jc w:val="both"/>
      </w:pPr>
      <w:r w:rsidRPr="0077493A">
        <w:t>Popis základních zásad pro hodnocení práce hodnotitelů při výběru projektů a případně tam, kde je to účelné i při závěrečném hodnocení projektů je vhodné uvést v kodexu hodnotitele.</w:t>
      </w:r>
    </w:p>
    <w:p w14:paraId="5647753B" w14:textId="34957EDA" w:rsidR="005B56E8" w:rsidRPr="0077493A" w:rsidRDefault="005B56E8" w:rsidP="007F5475">
      <w:pPr>
        <w:pStyle w:val="Odstavecseseznamem"/>
        <w:numPr>
          <w:ilvl w:val="0"/>
          <w:numId w:val="8"/>
        </w:numPr>
        <w:jc w:val="both"/>
      </w:pPr>
      <w:r>
        <w:t xml:space="preserve">Další základní východiska jsou uvedena v příloze č. 9.5 </w:t>
      </w:r>
      <w:r w:rsidR="00A03997">
        <w:t>Minimální parametry</w:t>
      </w:r>
      <w:r>
        <w:t> hodnocení projektů.</w:t>
      </w:r>
    </w:p>
    <w:p w14:paraId="72157AAF" w14:textId="77777777" w:rsidR="003E1CEB" w:rsidRPr="002E310B" w:rsidRDefault="003E1CEB" w:rsidP="003E1CEB">
      <w:pPr>
        <w:pStyle w:val="Odstavecseseznamem"/>
        <w:ind w:left="1353"/>
        <w:jc w:val="both"/>
        <w:rPr>
          <w:bCs/>
        </w:rPr>
      </w:pPr>
    </w:p>
    <w:tbl>
      <w:tblPr>
        <w:tblStyle w:val="Mkatabulky"/>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3221"/>
        <w:gridCol w:w="5821"/>
      </w:tblGrid>
      <w:tr w:rsidR="00DC0B3F" w14:paraId="46BE61A3" w14:textId="77777777" w:rsidTr="00DC0B3F">
        <w:tc>
          <w:tcPr>
            <w:tcW w:w="2972" w:type="dxa"/>
          </w:tcPr>
          <w:p w14:paraId="6B21B8DC" w14:textId="77777777" w:rsidR="00F70A60" w:rsidRPr="00F70A60" w:rsidRDefault="00DC0B3F" w:rsidP="007F5475">
            <w:pPr>
              <w:pStyle w:val="Odstavecseseznamem"/>
              <w:numPr>
                <w:ilvl w:val="0"/>
                <w:numId w:val="16"/>
              </w:numPr>
              <w:rPr>
                <w:b/>
                <w:sz w:val="28"/>
                <w:szCs w:val="28"/>
              </w:rPr>
            </w:pPr>
            <w:r w:rsidRPr="002C25DC">
              <w:rPr>
                <w:b/>
                <w:color w:val="FFC000"/>
                <w:sz w:val="28"/>
                <w:szCs w:val="28"/>
              </w:rPr>
              <w:t>DOPORUČENÍ</w:t>
            </w:r>
          </w:p>
          <w:p w14:paraId="18E94762" w14:textId="6D5E2117" w:rsidR="00DC0B3F" w:rsidRPr="002C25DC" w:rsidRDefault="00F70A60" w:rsidP="00F70A60">
            <w:pPr>
              <w:pStyle w:val="Odstavecseseznamem"/>
              <w:jc w:val="right"/>
              <w:rPr>
                <w:b/>
                <w:sz w:val="28"/>
                <w:szCs w:val="28"/>
              </w:rPr>
            </w:pPr>
            <w:r>
              <w:rPr>
                <w:b/>
                <w:color w:val="FFC000"/>
                <w:sz w:val="28"/>
                <w:szCs w:val="28"/>
              </w:rPr>
              <w:t>vzešlá z jednání platformy pro přípravu MP</w:t>
            </w:r>
            <w:r w:rsidRPr="002C25DC">
              <w:rPr>
                <w:b/>
                <w:color w:val="FFC000"/>
                <w:sz w:val="28"/>
                <w:szCs w:val="28"/>
              </w:rPr>
              <w:t xml:space="preserve">           </w:t>
            </w:r>
            <w:r w:rsidR="00DC0B3F" w:rsidRPr="002C25DC">
              <w:rPr>
                <w:b/>
                <w:color w:val="FFC000"/>
                <w:sz w:val="28"/>
                <w:szCs w:val="28"/>
              </w:rPr>
              <w:t xml:space="preserve">      </w:t>
            </w:r>
          </w:p>
        </w:tc>
        <w:tc>
          <w:tcPr>
            <w:tcW w:w="6047" w:type="dxa"/>
          </w:tcPr>
          <w:p w14:paraId="0386B15D" w14:textId="77777777" w:rsidR="00DC0B3F" w:rsidRPr="00330066" w:rsidRDefault="00330066" w:rsidP="007F5475">
            <w:pPr>
              <w:pStyle w:val="Odstavecseseznamem"/>
              <w:numPr>
                <w:ilvl w:val="0"/>
                <w:numId w:val="15"/>
              </w:numPr>
            </w:pPr>
            <w:r w:rsidRPr="00C5798B">
              <w:rPr>
                <w:rFonts w:ascii="Calibri" w:hAnsi="Calibri" w:cs="Calibri"/>
              </w:rPr>
              <w:t>Sdílet databázi hodnotitelů (resp. nezávislých expertů zapojených do procesu hodnocení projektů, a to jak ve smyslu oponentů, tak také členů hodnotících panelů či expertů vypracovávajících různé posudky na projekty či jejich výsledky) mezi jednotlivými poskytovateli.</w:t>
            </w:r>
          </w:p>
          <w:p w14:paraId="44BD3F07" w14:textId="77777777" w:rsidR="00330066" w:rsidRDefault="00330066" w:rsidP="007F5475">
            <w:pPr>
              <w:pStyle w:val="Odstavecseseznamem"/>
              <w:numPr>
                <w:ilvl w:val="0"/>
                <w:numId w:val="15"/>
              </w:numPr>
            </w:pPr>
            <w:r w:rsidRPr="005F0BDF">
              <w:t>Sjednocení pravidel ke střetu zájmů.</w:t>
            </w:r>
          </w:p>
          <w:p w14:paraId="6C2AB0AC" w14:textId="77777777" w:rsidR="00330066" w:rsidRPr="00330066" w:rsidRDefault="00330066" w:rsidP="007F5475">
            <w:pPr>
              <w:pStyle w:val="Odstavecseseznamem"/>
              <w:numPr>
                <w:ilvl w:val="0"/>
                <w:numId w:val="15"/>
              </w:numPr>
            </w:pPr>
            <w:r w:rsidRPr="00C5798B">
              <w:rPr>
                <w:rFonts w:ascii="Calibri" w:hAnsi="Calibri" w:cs="Calibri"/>
              </w:rPr>
              <w:t xml:space="preserve">Projektové žádosti v programech aplikovaného </w:t>
            </w:r>
            <w:proofErr w:type="spellStart"/>
            <w:r w:rsidRPr="00C5798B">
              <w:rPr>
                <w:rFonts w:ascii="Calibri" w:hAnsi="Calibri" w:cs="Calibri"/>
              </w:rPr>
              <w:t>VaV</w:t>
            </w:r>
            <w:proofErr w:type="spellEnd"/>
            <w:r w:rsidRPr="00C5798B">
              <w:rPr>
                <w:rFonts w:ascii="Calibri" w:hAnsi="Calibri" w:cs="Calibri"/>
              </w:rPr>
              <w:t xml:space="preserve"> hodnotit dle zá</w:t>
            </w:r>
            <w:r>
              <w:rPr>
                <w:rFonts w:ascii="Calibri" w:hAnsi="Calibri" w:cs="Calibri"/>
              </w:rPr>
              <w:t>kladních kritérií – implementace, excelence</w:t>
            </w:r>
            <w:r w:rsidRPr="00C5798B">
              <w:rPr>
                <w:rFonts w:ascii="Calibri" w:hAnsi="Calibri" w:cs="Calibri"/>
              </w:rPr>
              <w:t xml:space="preserve"> a uplatnění výsledku (dopad).</w:t>
            </w:r>
          </w:p>
          <w:p w14:paraId="1A7B1959" w14:textId="5AD1766B" w:rsidR="00330066" w:rsidRPr="008220E6" w:rsidRDefault="00330066" w:rsidP="007F5475">
            <w:pPr>
              <w:pStyle w:val="Odstavecseseznamem"/>
              <w:numPr>
                <w:ilvl w:val="0"/>
                <w:numId w:val="15"/>
              </w:numPr>
            </w:pPr>
            <w:r w:rsidRPr="00C5798B">
              <w:rPr>
                <w:rFonts w:ascii="Calibri" w:hAnsi="Calibri" w:cs="Calibri"/>
              </w:rPr>
              <w:t>Projekty v programech základního výzkumu (skupinách grantových projektů) hodnotit např. podle excelence či řešitelského týmu</w:t>
            </w:r>
            <w:r>
              <w:rPr>
                <w:rFonts w:ascii="Calibri" w:hAnsi="Calibri" w:cs="Calibri"/>
              </w:rPr>
              <w:t>.</w:t>
            </w:r>
          </w:p>
          <w:p w14:paraId="35938ACE" w14:textId="10D7EFD6" w:rsidR="008220E6" w:rsidRPr="00330066" w:rsidRDefault="008220E6" w:rsidP="007F5475">
            <w:pPr>
              <w:pStyle w:val="Odstavecseseznamem"/>
              <w:numPr>
                <w:ilvl w:val="0"/>
                <w:numId w:val="15"/>
              </w:numPr>
            </w:pPr>
            <w:r w:rsidRPr="00F911BA">
              <w:rPr>
                <w:rFonts w:ascii="Calibri" w:hAnsi="Calibri" w:cs="Calibri"/>
              </w:rPr>
              <w:t xml:space="preserve">Hodnotitele v různých oborech získávat pomocí aktivního oslovování českých i zahraničních výzkumníků, využitím databáze expertů pro rámcové programy; v případě aplikovaného výzkumu a inovací oslovováním odborníků zapojených do realizace projektů podpořených operačními programy </w:t>
            </w:r>
            <w:r w:rsidR="00E01D8E">
              <w:rPr>
                <w:rFonts w:ascii="Calibri" w:hAnsi="Calibri" w:cs="Calibri"/>
              </w:rPr>
              <w:t xml:space="preserve">Ministerstva průmyslu a obchodu </w:t>
            </w:r>
            <w:r w:rsidRPr="00F911BA">
              <w:rPr>
                <w:rFonts w:ascii="Calibri" w:hAnsi="Calibri" w:cs="Calibri"/>
              </w:rPr>
              <w:t>apod. Získávat hodnotitele pomocí vyšší finanční odměny, která pokryje skutečné náklady vynaložené s hodnocením, resp. odpovídá hodinové sazbě experta.</w:t>
            </w:r>
          </w:p>
          <w:p w14:paraId="48643126" w14:textId="280D1F6B" w:rsidR="00330066" w:rsidRDefault="00330066" w:rsidP="002E61CB">
            <w:pPr>
              <w:ind w:left="360"/>
            </w:pPr>
          </w:p>
        </w:tc>
      </w:tr>
    </w:tbl>
    <w:p w14:paraId="173CE494" w14:textId="089064E0" w:rsidR="0077493A" w:rsidRDefault="0077493A" w:rsidP="00E16608"/>
    <w:p w14:paraId="267A9A6E" w14:textId="77777777" w:rsidR="0077493A" w:rsidRDefault="0077493A">
      <w:r>
        <w:br w:type="page"/>
      </w:r>
    </w:p>
    <w:p w14:paraId="033E5004" w14:textId="77777777" w:rsidR="00E16608" w:rsidRDefault="00E16608" w:rsidP="00E16608"/>
    <w:p w14:paraId="74E02AF5" w14:textId="509A7E5C" w:rsidR="00A9491E" w:rsidRDefault="00E16608" w:rsidP="007F5475">
      <w:pPr>
        <w:pStyle w:val="Nadpis1"/>
        <w:numPr>
          <w:ilvl w:val="0"/>
          <w:numId w:val="19"/>
        </w:numPr>
      </w:pPr>
      <w:bookmarkStart w:id="30" w:name="_Toc195184947"/>
      <w:r>
        <w:t>Realizace projektů</w:t>
      </w:r>
      <w:bookmarkEnd w:id="30"/>
    </w:p>
    <w:p w14:paraId="0BF8CEDA" w14:textId="77777777" w:rsidR="003607F1" w:rsidRPr="003607F1" w:rsidRDefault="003607F1" w:rsidP="003607F1"/>
    <w:p w14:paraId="71353052" w14:textId="006DC9D3" w:rsidR="002D7296" w:rsidRDefault="00E16608" w:rsidP="007F5475">
      <w:pPr>
        <w:pStyle w:val="Nadpis2"/>
        <w:numPr>
          <w:ilvl w:val="1"/>
          <w:numId w:val="19"/>
        </w:numPr>
        <w:ind w:left="718"/>
      </w:pPr>
      <w:bookmarkStart w:id="31" w:name="_Toc195184948"/>
      <w:r>
        <w:t xml:space="preserve">Smlouvy o </w:t>
      </w:r>
      <w:r w:rsidRPr="005076E9">
        <w:t>poskytnutí</w:t>
      </w:r>
      <w:r>
        <w:t xml:space="preserve"> podpory</w:t>
      </w:r>
      <w:bookmarkEnd w:id="31"/>
    </w:p>
    <w:p w14:paraId="047381F2" w14:textId="27F5A5D0" w:rsidR="00BD2396" w:rsidRPr="008B67F8" w:rsidRDefault="00BD2396" w:rsidP="00BD2396">
      <w:pPr>
        <w:autoSpaceDE w:val="0"/>
        <w:autoSpaceDN w:val="0"/>
        <w:adjustRightInd w:val="0"/>
        <w:spacing w:after="120" w:line="240" w:lineRule="auto"/>
        <w:jc w:val="both"/>
        <w:rPr>
          <w:rFonts w:cstheme="minorHAnsi"/>
          <w:color w:val="000000"/>
        </w:rPr>
      </w:pPr>
      <w:r w:rsidRPr="008B67F8">
        <w:rPr>
          <w:rFonts w:cstheme="minorHAnsi"/>
          <w:color w:val="000000"/>
        </w:rPr>
        <w:t>Základním právním dokumentem pro realizaci programových nebo grantových projektů financovaných z účelové podpory je písemná smlouva, která se řídí ustanoveními obchodní</w:t>
      </w:r>
      <w:r w:rsidR="00BC3298">
        <w:rPr>
          <w:rFonts w:cstheme="minorHAnsi"/>
          <w:color w:val="000000"/>
        </w:rPr>
        <w:t xml:space="preserve">ho zákoníku </w:t>
      </w:r>
      <w:r w:rsidRPr="008B67F8">
        <w:rPr>
          <w:rFonts w:cstheme="minorHAnsi"/>
          <w:color w:val="000000"/>
        </w:rPr>
        <w:t>(</w:t>
      </w:r>
      <w:r w:rsidR="001C39A2">
        <w:rPr>
          <w:rFonts w:cstheme="minorHAnsi"/>
          <w:color w:val="000000"/>
        </w:rPr>
        <w:t>z</w:t>
      </w:r>
      <w:r w:rsidRPr="008B67F8">
        <w:rPr>
          <w:rFonts w:cstheme="minorHAnsi"/>
          <w:color w:val="000000"/>
        </w:rPr>
        <w:t>ákon č.</w:t>
      </w:r>
      <w:r w:rsidR="00804D9A">
        <w:rPr>
          <w:rFonts w:cstheme="minorHAnsi"/>
          <w:color w:val="000000"/>
        </w:rPr>
        <w:t> </w:t>
      </w:r>
      <w:r w:rsidRPr="008B67F8">
        <w:rPr>
          <w:rFonts w:cstheme="minorHAnsi"/>
          <w:color w:val="000000"/>
        </w:rPr>
        <w:t xml:space="preserve">123/2024 Sb., kterým se mění zákon č. 89/2012 Sb., občanský zákoník, ve znění pozdějších předpisů, a další související zákony), nestanoví-li </w:t>
      </w:r>
      <w:r w:rsidR="00124104" w:rsidRPr="008B67F8">
        <w:rPr>
          <w:rFonts w:cstheme="minorHAnsi"/>
          <w:color w:val="000000"/>
        </w:rPr>
        <w:t xml:space="preserve">§ 9 odst. 3 a další </w:t>
      </w:r>
      <w:r w:rsidR="001C39A2">
        <w:rPr>
          <w:rFonts w:cstheme="minorHAnsi"/>
          <w:color w:val="000000"/>
        </w:rPr>
        <w:t>z</w:t>
      </w:r>
      <w:r w:rsidRPr="008B67F8">
        <w:rPr>
          <w:rFonts w:cstheme="minorHAnsi"/>
          <w:color w:val="000000"/>
        </w:rPr>
        <w:t>ákon</w:t>
      </w:r>
      <w:r w:rsidR="00124104">
        <w:rPr>
          <w:rFonts w:cstheme="minorHAnsi"/>
          <w:color w:val="000000"/>
        </w:rPr>
        <w:t>a č. 130/2002 Sb.</w:t>
      </w:r>
      <w:r w:rsidRPr="008B67F8">
        <w:rPr>
          <w:rFonts w:cstheme="minorHAnsi"/>
          <w:color w:val="000000"/>
        </w:rPr>
        <w:t xml:space="preserve"> jinak.</w:t>
      </w:r>
    </w:p>
    <w:p w14:paraId="5E4CC8C6" w14:textId="4DFF65DD" w:rsidR="00BD2396" w:rsidRPr="008B67F8" w:rsidRDefault="00BD2396" w:rsidP="00BD2396">
      <w:pPr>
        <w:autoSpaceDE w:val="0"/>
        <w:autoSpaceDN w:val="0"/>
        <w:adjustRightInd w:val="0"/>
        <w:spacing w:after="120" w:line="240" w:lineRule="auto"/>
        <w:jc w:val="both"/>
        <w:rPr>
          <w:rFonts w:cstheme="minorHAnsi"/>
          <w:color w:val="000000"/>
        </w:rPr>
      </w:pPr>
      <w:r w:rsidRPr="008B67F8">
        <w:rPr>
          <w:rFonts w:cstheme="minorHAnsi"/>
          <w:color w:val="000000"/>
        </w:rPr>
        <w:t xml:space="preserve">V případě, že příjemcem je organizační složka státu nebo organizační jednotka ministerstva zabývající se </w:t>
      </w:r>
      <w:r w:rsidR="008D0BE1">
        <w:rPr>
          <w:rFonts w:cstheme="minorHAnsi"/>
          <w:color w:val="000000"/>
        </w:rPr>
        <w:t>VVI</w:t>
      </w:r>
      <w:r w:rsidRPr="008B67F8">
        <w:rPr>
          <w:rFonts w:cstheme="minorHAnsi"/>
          <w:color w:val="000000"/>
        </w:rPr>
        <w:t>, vydává poskytovatel dotace rozhodnutí o poskytnutí podpory podle rozpočtových pravidel (</w:t>
      </w:r>
      <w:r w:rsidR="001C39A2">
        <w:rPr>
          <w:rFonts w:cstheme="minorHAnsi"/>
          <w:color w:val="000000"/>
        </w:rPr>
        <w:t>z</w:t>
      </w:r>
      <w:r w:rsidRPr="008B67F8">
        <w:rPr>
          <w:rFonts w:cstheme="minorHAnsi"/>
          <w:color w:val="000000"/>
        </w:rPr>
        <w:t xml:space="preserve">ákon č. 218/2000 Sb., o rozpočtových pravidlech, zejména § 14) a přiměřeně se použije pro sestavení rozhodnutí </w:t>
      </w:r>
      <w:r w:rsidR="00124104">
        <w:rPr>
          <w:rFonts w:cstheme="minorHAnsi"/>
          <w:color w:val="000000"/>
        </w:rPr>
        <w:t>§ 9 odst. 5</w:t>
      </w:r>
      <w:r w:rsidR="00124104" w:rsidRPr="008B67F8">
        <w:rPr>
          <w:rFonts w:cstheme="minorHAnsi"/>
          <w:color w:val="000000"/>
        </w:rPr>
        <w:t xml:space="preserve"> </w:t>
      </w:r>
      <w:r w:rsidR="001C39A2">
        <w:rPr>
          <w:rFonts w:cstheme="minorHAnsi"/>
          <w:color w:val="000000"/>
        </w:rPr>
        <w:t>z</w:t>
      </w:r>
      <w:r w:rsidRPr="008B67F8">
        <w:rPr>
          <w:rFonts w:cstheme="minorHAnsi"/>
          <w:color w:val="000000"/>
        </w:rPr>
        <w:t>ákon</w:t>
      </w:r>
      <w:r w:rsidR="00124104">
        <w:rPr>
          <w:rFonts w:cstheme="minorHAnsi"/>
          <w:color w:val="000000"/>
        </w:rPr>
        <w:t>a</w:t>
      </w:r>
      <w:r w:rsidRPr="008B67F8">
        <w:rPr>
          <w:rFonts w:cstheme="minorHAnsi"/>
          <w:color w:val="000000"/>
        </w:rPr>
        <w:t xml:space="preserve"> č. 130/2002 </w:t>
      </w:r>
      <w:proofErr w:type="gramStart"/>
      <w:r w:rsidR="00124104">
        <w:rPr>
          <w:rFonts w:cstheme="minorHAnsi"/>
          <w:color w:val="000000"/>
        </w:rPr>
        <w:t>Sb..</w:t>
      </w:r>
      <w:proofErr w:type="gramEnd"/>
      <w:r w:rsidRPr="008B67F8">
        <w:rPr>
          <w:rFonts w:cstheme="minorHAnsi"/>
          <w:color w:val="000000"/>
        </w:rPr>
        <w:t xml:space="preserve"> </w:t>
      </w:r>
    </w:p>
    <w:p w14:paraId="42BF460C" w14:textId="77777777" w:rsidR="00BD2396" w:rsidRPr="008B67F8" w:rsidRDefault="00BD2396" w:rsidP="00BD2396">
      <w:pPr>
        <w:autoSpaceDE w:val="0"/>
        <w:autoSpaceDN w:val="0"/>
        <w:adjustRightInd w:val="0"/>
        <w:spacing w:after="120" w:line="240" w:lineRule="auto"/>
        <w:jc w:val="both"/>
        <w:rPr>
          <w:rFonts w:cstheme="minorHAnsi"/>
          <w:color w:val="000000"/>
        </w:rPr>
      </w:pPr>
      <w:r w:rsidRPr="008B67F8">
        <w:rPr>
          <w:rFonts w:cstheme="minorHAnsi"/>
          <w:color w:val="000000"/>
        </w:rPr>
        <w:t xml:space="preserve">Součástí smlouvy/rozhodnutí o poskytnutí podpory je schválený návrh projektu, tj. včetně případných změn učiněných na návrh poskytovatele. </w:t>
      </w:r>
    </w:p>
    <w:p w14:paraId="0EE45F39" w14:textId="5804E0D2" w:rsidR="00BD2396" w:rsidRPr="00D631FB" w:rsidRDefault="00BD2396" w:rsidP="00D631FB">
      <w:pPr>
        <w:jc w:val="both"/>
        <w:rPr>
          <w:rFonts w:cstheme="minorHAnsi"/>
        </w:rPr>
      </w:pPr>
      <w:r w:rsidRPr="008B67F8">
        <w:rPr>
          <w:rFonts w:cstheme="minorHAnsi"/>
          <w:color w:val="000000"/>
        </w:rPr>
        <w:t xml:space="preserve">V případě smluv uzavíraných v rámci veřejných zakázek poskytovatel přiměřeně využije </w:t>
      </w:r>
      <w:r w:rsidR="000562EF" w:rsidRPr="008B67F8">
        <w:rPr>
          <w:rFonts w:cstheme="minorHAnsi"/>
          <w:color w:val="000000"/>
        </w:rPr>
        <w:t>§ 9</w:t>
      </w:r>
      <w:r w:rsidR="000562EF">
        <w:rPr>
          <w:rFonts w:cstheme="minorHAnsi"/>
          <w:color w:val="000000"/>
        </w:rPr>
        <w:t xml:space="preserve"> </w:t>
      </w:r>
      <w:r w:rsidR="001C39A2">
        <w:rPr>
          <w:rFonts w:cstheme="minorHAnsi"/>
          <w:color w:val="000000"/>
        </w:rPr>
        <w:t>z</w:t>
      </w:r>
      <w:r w:rsidRPr="008B67F8">
        <w:rPr>
          <w:rFonts w:cstheme="minorHAnsi"/>
          <w:color w:val="000000"/>
        </w:rPr>
        <w:t>ákon</w:t>
      </w:r>
      <w:r w:rsidR="000562EF">
        <w:rPr>
          <w:rFonts w:cstheme="minorHAnsi"/>
          <w:color w:val="000000"/>
        </w:rPr>
        <w:t>a</w:t>
      </w:r>
      <w:r w:rsidRPr="008B67F8">
        <w:rPr>
          <w:rFonts w:cstheme="minorHAnsi"/>
          <w:color w:val="000000"/>
        </w:rPr>
        <w:t xml:space="preserve"> č.</w:t>
      </w:r>
      <w:r w:rsidR="00C9161B">
        <w:rPr>
          <w:rFonts w:cstheme="minorHAnsi"/>
          <w:color w:val="000000"/>
        </w:rPr>
        <w:t> </w:t>
      </w:r>
      <w:r w:rsidRPr="008B67F8">
        <w:rPr>
          <w:rFonts w:cstheme="minorHAnsi"/>
          <w:color w:val="000000"/>
        </w:rPr>
        <w:t xml:space="preserve">130/2002 </w:t>
      </w:r>
      <w:r w:rsidR="000562EF">
        <w:rPr>
          <w:rFonts w:cstheme="minorHAnsi"/>
          <w:color w:val="000000"/>
        </w:rPr>
        <w:t>Sb.</w:t>
      </w:r>
      <w:r w:rsidRPr="008B67F8">
        <w:rPr>
          <w:rFonts w:cstheme="minorHAnsi"/>
          <w:color w:val="000000"/>
        </w:rPr>
        <w:t xml:space="preserve"> s tí</w:t>
      </w:r>
      <w:r w:rsidR="00755352">
        <w:rPr>
          <w:rFonts w:cstheme="minorHAnsi"/>
          <w:color w:val="000000"/>
        </w:rPr>
        <w:t xml:space="preserve">m, že i nadále postupuje podle </w:t>
      </w:r>
      <w:r w:rsidR="001C39A2">
        <w:rPr>
          <w:rFonts w:cstheme="minorHAnsi"/>
          <w:color w:val="000000"/>
        </w:rPr>
        <w:t>z</w:t>
      </w:r>
      <w:r w:rsidRPr="008B67F8">
        <w:rPr>
          <w:rFonts w:cstheme="minorHAnsi"/>
          <w:color w:val="000000"/>
        </w:rPr>
        <w:t>ákona č. 134/2016 Sb., o zadávání veřejných zakázek.</w:t>
      </w:r>
    </w:p>
    <w:p w14:paraId="69372A4F" w14:textId="67EAE162" w:rsidR="006205BD" w:rsidRDefault="006205BD" w:rsidP="007F5475">
      <w:pPr>
        <w:pStyle w:val="Nadpis3"/>
        <w:numPr>
          <w:ilvl w:val="2"/>
          <w:numId w:val="19"/>
        </w:numPr>
      </w:pPr>
      <w:bookmarkStart w:id="32" w:name="_Toc195063176"/>
      <w:bookmarkStart w:id="33" w:name="_Toc195087074"/>
      <w:bookmarkStart w:id="34" w:name="_Toc195184949"/>
      <w:r>
        <w:t xml:space="preserve">Fáze přípravy smluvního </w:t>
      </w:r>
      <w:r w:rsidRPr="005076E9">
        <w:t>dokumentu</w:t>
      </w:r>
      <w:bookmarkEnd w:id="32"/>
      <w:bookmarkEnd w:id="33"/>
      <w:bookmarkEnd w:id="34"/>
    </w:p>
    <w:p w14:paraId="228E3415" w14:textId="3A8C0615" w:rsidR="00755352" w:rsidRDefault="006205BD" w:rsidP="00C77F9F">
      <w:pPr>
        <w:jc w:val="both"/>
      </w:pPr>
      <w:r>
        <w:t>Před podpisem smlouvy či akceptací rozhodnutí je nutné zrealizovat několik kroků na straně budoucího příjemce i na straně poskytovatele, které rozhodují o přípravě kvalitně připravené smlouvy/rozhodnutí. V této fázi je nutná otevřená komunikace mezi oběma stranami, neboť tímto dochází k nastavení partnerství, které je počátkem úspěšného řešení projektu, potažmo celého pr</w:t>
      </w:r>
      <w:r w:rsidR="003E1CEB">
        <w:t>ogramu účelové podpory.</w:t>
      </w:r>
    </w:p>
    <w:p w14:paraId="4C9F065E" w14:textId="77777777" w:rsidR="006205BD" w:rsidRPr="0077493A" w:rsidRDefault="006205BD" w:rsidP="00C77F9F">
      <w:pPr>
        <w:jc w:val="both"/>
        <w:rPr>
          <w:u w:val="single"/>
        </w:rPr>
      </w:pPr>
      <w:r w:rsidRPr="0077493A">
        <w:rPr>
          <w:u w:val="single"/>
        </w:rPr>
        <w:t>Základní doporučení:</w:t>
      </w:r>
    </w:p>
    <w:p w14:paraId="0BC43345" w14:textId="153EB3F8" w:rsidR="006205BD" w:rsidRDefault="006205BD" w:rsidP="007F5475">
      <w:pPr>
        <w:pStyle w:val="Odstavecseseznamem"/>
        <w:numPr>
          <w:ilvl w:val="0"/>
          <w:numId w:val="8"/>
        </w:numPr>
        <w:jc w:val="both"/>
      </w:pPr>
      <w:r>
        <w:t xml:space="preserve">Dokončení procesu doložení dokladů, které jsou požadovány až před podpisem smlouvy. Obdobně je nutné dokončit proces přípravy </w:t>
      </w:r>
      <w:r w:rsidRPr="00ED2A3F">
        <w:t>rozhodnutí</w:t>
      </w:r>
      <w:r w:rsidR="0014655D" w:rsidRPr="00796FCE">
        <w:t>/smlouvy</w:t>
      </w:r>
      <w:r>
        <w:t>. Doložení těchto dokladů až v období před podpisem smlouvy/vydáním rozhodnutí musí být uvedeno již v zadávací dokumentaci k příslušné veřejné soutěži.</w:t>
      </w:r>
    </w:p>
    <w:p w14:paraId="00EF9FDC" w14:textId="6A2D12AA" w:rsidR="006205BD" w:rsidRDefault="006205BD" w:rsidP="007F5475">
      <w:pPr>
        <w:pStyle w:val="Odstavecseseznamem"/>
        <w:numPr>
          <w:ilvl w:val="0"/>
          <w:numId w:val="8"/>
        </w:numPr>
        <w:jc w:val="both"/>
      </w:pPr>
      <w:r>
        <w:t>Případná aktualizace údajů, k jejichž změně došlo během období schvalování žádosti (např. změna na pozici statutárního zástupce, nepředvídatelné změny</w:t>
      </w:r>
      <w:r w:rsidR="000F13FB">
        <w:t xml:space="preserve"> atd.). Nesmí však jít o změny,</w:t>
      </w:r>
      <w:r w:rsidR="00C377B8">
        <w:t xml:space="preserve"> </w:t>
      </w:r>
      <w:r w:rsidR="0075464F">
        <w:t xml:space="preserve">které </w:t>
      </w:r>
      <w:r w:rsidR="00A24A10">
        <w:t xml:space="preserve">mění </w:t>
      </w:r>
      <w:r>
        <w:t>zaměření a cíle žádosti čili změny, které by mohly potenciálně změnit hodnocení žádostí v pozitivním i negativním smyslu. Vždy je však nutná komunikace žadatele s poskytovatelem, a to formou elektronické komunikace v příslušném IS poskytovatele pro předkládání proje</w:t>
      </w:r>
      <w:r w:rsidR="00C377B8">
        <w:t>ktových žádostí, je-li</w:t>
      </w:r>
      <w:r>
        <w:t xml:space="preserve"> tato možnost v IS nastavena, případně prostřednictvím písemné komunikace, a to vždy v podobě žádosti ze </w:t>
      </w:r>
      <w:r w:rsidRPr="00ED2A3F">
        <w:t xml:space="preserve">strany </w:t>
      </w:r>
      <w:r w:rsidR="00294B7E" w:rsidRPr="00796FCE">
        <w:t xml:space="preserve">uchazeče </w:t>
      </w:r>
      <w:r w:rsidRPr="00796FCE">
        <w:t>a</w:t>
      </w:r>
      <w:r w:rsidRPr="00ED2A3F">
        <w:t xml:space="preserve"> stanoviska</w:t>
      </w:r>
      <w:r>
        <w:t xml:space="preserve"> k uvedené žádosti ze strany poskytovatele. Tímto postupem dojde k</w:t>
      </w:r>
      <w:r w:rsidR="00804D9A">
        <w:t> </w:t>
      </w:r>
      <w:r>
        <w:t>zachování tzv. auditní stopy pro následnou realizaci projektu a kontroly nejen daného projektu.</w:t>
      </w:r>
    </w:p>
    <w:p w14:paraId="03D45A78" w14:textId="3C0051E2" w:rsidR="006205BD" w:rsidRDefault="006205BD" w:rsidP="007F5475">
      <w:pPr>
        <w:pStyle w:val="Odstavecseseznamem"/>
        <w:numPr>
          <w:ilvl w:val="0"/>
          <w:numId w:val="8"/>
        </w:numPr>
        <w:jc w:val="both"/>
      </w:pPr>
      <w:r>
        <w:t>Budoucí příjemce musí zapracovat změny navržené odborným poradním orgánem, resp. poskytovatelem, bez nichž nelze projekt realizovat. Zejména se většinou jedná o snížení některých položek rozpočtu, což mnohdy vyžaduje i úpravu souvisejících položek (např. mzdy a z toho plynoucí odvody atd.).</w:t>
      </w:r>
    </w:p>
    <w:p w14:paraId="3A12CBD0" w14:textId="2DF34AAB" w:rsidR="006205BD" w:rsidRDefault="006205BD" w:rsidP="007F5475">
      <w:pPr>
        <w:pStyle w:val="Odstavecseseznamem"/>
        <w:numPr>
          <w:ilvl w:val="0"/>
          <w:numId w:val="8"/>
        </w:numPr>
        <w:jc w:val="both"/>
      </w:pPr>
      <w:r>
        <w:t>Nedílnou součástí by mělo být vzájemné si odsouhlasení znění smlouvy/rozhodnutí, a to včetně jejich příl</w:t>
      </w:r>
      <w:r w:rsidR="000F13FB">
        <w:t>oh</w:t>
      </w:r>
      <w:r w:rsidR="00ED2A3F">
        <w:t>,</w:t>
      </w:r>
      <w:r w:rsidR="000F13FB">
        <w:t xml:space="preserve"> pokud možno učiněné v rámci </w:t>
      </w:r>
      <w:r w:rsidR="0006353A">
        <w:t>příslušného IS.</w:t>
      </w:r>
    </w:p>
    <w:p w14:paraId="7D61CF09" w14:textId="77777777" w:rsidR="003607F1" w:rsidRDefault="003607F1" w:rsidP="0006353A">
      <w:pPr>
        <w:jc w:val="both"/>
      </w:pPr>
    </w:p>
    <w:p w14:paraId="71178414" w14:textId="70441D81" w:rsidR="0075464F" w:rsidRPr="0075464F" w:rsidRDefault="006205BD" w:rsidP="007F5475">
      <w:pPr>
        <w:pStyle w:val="Nadpis3"/>
        <w:numPr>
          <w:ilvl w:val="2"/>
          <w:numId w:val="19"/>
        </w:numPr>
      </w:pPr>
      <w:bookmarkStart w:id="35" w:name="_Toc195063177"/>
      <w:bookmarkStart w:id="36" w:name="_Toc195087075"/>
      <w:bookmarkStart w:id="37" w:name="_Toc195184950"/>
      <w:r>
        <w:t>Základní struktura smluvního dokumentu</w:t>
      </w:r>
      <w:bookmarkEnd w:id="35"/>
      <w:bookmarkEnd w:id="36"/>
      <w:bookmarkEnd w:id="37"/>
      <w:r>
        <w:t xml:space="preserve"> </w:t>
      </w:r>
    </w:p>
    <w:p w14:paraId="48D8FC35" w14:textId="4CCCE735" w:rsidR="00292167" w:rsidRDefault="006205BD" w:rsidP="00C77F9F">
      <w:pPr>
        <w:jc w:val="both"/>
      </w:pPr>
      <w:r>
        <w:t>Základ</w:t>
      </w:r>
      <w:r w:rsidR="000F13FB">
        <w:t xml:space="preserve">ní informace, které má smlouva </w:t>
      </w:r>
      <w:r>
        <w:t xml:space="preserve">a přiměřeně i rozhodnutí obsahovat uvádí § 9 </w:t>
      </w:r>
      <w:r w:rsidR="001C39A2">
        <w:t>z</w:t>
      </w:r>
      <w:r>
        <w:t xml:space="preserve">ákona </w:t>
      </w:r>
      <w:r w:rsidR="00C9161B">
        <w:t>č. </w:t>
      </w:r>
      <w:r>
        <w:t>130/2002 Sb. Podstatné však je, o jak zaměřenou veřejnou soutěž se jedná (základní, aplikovaný výzkum, inovace atd.), kdo jsou příjemci dotací (jeden žadatel nebo konsorcium žadatelů, či žadatel s</w:t>
      </w:r>
      <w:r w:rsidR="00804D9A">
        <w:t> </w:t>
      </w:r>
      <w:r>
        <w:t>partnery atd.), zda se jedná o projekt se zahraniční účastí. Všechny uvedené parametry a další ovlivňují výsledné požadavky na u</w:t>
      </w:r>
      <w:r w:rsidR="00D22B33">
        <w:t>váděné informace.</w:t>
      </w:r>
    </w:p>
    <w:p w14:paraId="43769737" w14:textId="77777777" w:rsidR="006205BD" w:rsidRPr="0077493A" w:rsidRDefault="006205BD" w:rsidP="00C77F9F">
      <w:pPr>
        <w:jc w:val="both"/>
        <w:rPr>
          <w:u w:val="single"/>
        </w:rPr>
      </w:pPr>
      <w:r w:rsidRPr="0077493A">
        <w:rPr>
          <w:u w:val="single"/>
        </w:rPr>
        <w:t>Základní doporučení:</w:t>
      </w:r>
    </w:p>
    <w:p w14:paraId="37940088" w14:textId="38478E02" w:rsidR="006205BD" w:rsidRDefault="006205BD" w:rsidP="007F5475">
      <w:pPr>
        <w:pStyle w:val="Odstavecseseznamem"/>
        <w:numPr>
          <w:ilvl w:val="0"/>
          <w:numId w:val="20"/>
        </w:numPr>
        <w:jc w:val="both"/>
      </w:pPr>
      <w:r w:rsidRPr="0077493A">
        <w:rPr>
          <w:b/>
          <w:bCs/>
        </w:rPr>
        <w:t>Obecná část smlouvy</w:t>
      </w:r>
      <w:r>
        <w:t xml:space="preserve"> – část se základními informacemi jako jsou poskytovatel dotace, program účelové podpory, </w:t>
      </w:r>
      <w:r w:rsidRPr="002B5A8C">
        <w:t xml:space="preserve">příjemce </w:t>
      </w:r>
      <w:r w:rsidR="00E648EF" w:rsidRPr="00796FCE">
        <w:t>podpory</w:t>
      </w:r>
      <w:r w:rsidRPr="002B5A8C">
        <w:t>, název projektu, délka trvání realizace projektu, schválená finanční alokace projektu, termíny předkládání</w:t>
      </w:r>
      <w:r>
        <w:t xml:space="preserve"> průběžných a závěrečné zprávy, termíny a způsob vykazování čerpání finančních prostředků, </w:t>
      </w:r>
      <w:r w:rsidR="000F13FB">
        <w:t xml:space="preserve">způsob řešení sporů, sankce za </w:t>
      </w:r>
      <w:r>
        <w:t>porušení smlouvy a další. Uvedené údaje je vhodné nastavit v IS daného poskytovatele jako údaje, které se opakují pro každou výzvu a fakticky u každého projektu.</w:t>
      </w:r>
    </w:p>
    <w:p w14:paraId="4BA46778" w14:textId="54DD4306" w:rsidR="008D13F3" w:rsidRDefault="006205BD" w:rsidP="007F5475">
      <w:pPr>
        <w:pStyle w:val="Odstavecseseznamem"/>
        <w:numPr>
          <w:ilvl w:val="0"/>
          <w:numId w:val="20"/>
        </w:numPr>
        <w:jc w:val="both"/>
      </w:pPr>
      <w:r w:rsidRPr="0077493A">
        <w:rPr>
          <w:b/>
        </w:rPr>
        <w:t>Specifická část smlouvy</w:t>
      </w:r>
      <w:r>
        <w:t xml:space="preserve"> obsahuje informace vycházející ze zaměření příslušné veřejné soutěže týkající se však konkrétního projektu včetně realizace projektu v době udržitelnosti. (např. nastavení způsobu vykazování plnění aktivit, výsledků, výstupů či dopadů projektu, vymezení stupně důvěrnosti údajů, je-li toto relevantní atd.).</w:t>
      </w:r>
    </w:p>
    <w:p w14:paraId="7A8AB831" w14:textId="77777777" w:rsidR="000470B1" w:rsidRDefault="000470B1" w:rsidP="00D631FB">
      <w:pPr>
        <w:jc w:val="both"/>
      </w:pPr>
    </w:p>
    <w:p w14:paraId="787FD1D8" w14:textId="09DEEDD8" w:rsidR="003F781F" w:rsidRDefault="003F781F" w:rsidP="007F5475">
      <w:pPr>
        <w:pStyle w:val="Nadpis2"/>
        <w:numPr>
          <w:ilvl w:val="1"/>
          <w:numId w:val="19"/>
        </w:numPr>
        <w:ind w:left="718"/>
      </w:pPr>
      <w:bookmarkStart w:id="38" w:name="_Toc181301995"/>
      <w:bookmarkStart w:id="39" w:name="_Toc195184951"/>
      <w:r>
        <w:t>Věcné a finanční kontroly projektů</w:t>
      </w:r>
      <w:bookmarkEnd w:id="38"/>
      <w:bookmarkEnd w:id="39"/>
    </w:p>
    <w:p w14:paraId="4CC9F02F" w14:textId="19699AF3" w:rsidR="002E61CB" w:rsidRDefault="003F781F" w:rsidP="00C77F9F">
      <w:pPr>
        <w:jc w:val="both"/>
      </w:pPr>
      <w:r>
        <w:t>Způsob a četnost vykazování realizace projektu, resp. plnění cílů projektu, včetně kontroly čerpání a</w:t>
      </w:r>
      <w:r w:rsidR="00804D9A">
        <w:t> </w:t>
      </w:r>
      <w:r>
        <w:t xml:space="preserve">využívání podpory a účelnosti vynaložených nákladů projektu (viz i </w:t>
      </w:r>
      <w:r w:rsidR="000562EF">
        <w:t xml:space="preserve">§ 13 </w:t>
      </w:r>
      <w:r w:rsidR="001C39A2">
        <w:t>z</w:t>
      </w:r>
      <w:r>
        <w:t>ákon</w:t>
      </w:r>
      <w:r w:rsidR="000562EF">
        <w:t>a</w:t>
      </w:r>
      <w:r w:rsidR="00AC4D7D">
        <w:t xml:space="preserve"> </w:t>
      </w:r>
      <w:r w:rsidR="00C9161B">
        <w:t xml:space="preserve">č. </w:t>
      </w:r>
      <w:r w:rsidR="00AC4D7D">
        <w:t>130/2002 Sb.</w:t>
      </w:r>
      <w:r>
        <w:t xml:space="preserve">) stanoví poskytovatel v obecných podmínkách ke všem </w:t>
      </w:r>
      <w:r w:rsidR="0042624F" w:rsidRPr="00796FCE">
        <w:t>veřejným soutěžím</w:t>
      </w:r>
      <w:r w:rsidR="0042624F" w:rsidRPr="002B5A8C">
        <w:t xml:space="preserve"> </w:t>
      </w:r>
      <w:r w:rsidRPr="002B5A8C">
        <w:t>daného</w:t>
      </w:r>
      <w:r>
        <w:t xml:space="preserve"> programu nebo v dokumentaci k dané veřejné soutěži a dále konkretizuje pro projekt ve smlouvě/rozhodnutí o</w:t>
      </w:r>
      <w:r w:rsidR="00804D9A">
        <w:t> </w:t>
      </w:r>
      <w:r>
        <w:t xml:space="preserve">poskytnutí účelové podpory. Část podmínek věnovaných </w:t>
      </w:r>
      <w:r w:rsidR="00B3334D" w:rsidRPr="00796FCE">
        <w:t>m</w:t>
      </w:r>
      <w:r w:rsidRPr="00796FCE">
        <w:t>etodickému</w:t>
      </w:r>
      <w:r w:rsidRPr="002B5A8C">
        <w:t xml:space="preserve"> </w:t>
      </w:r>
      <w:r w:rsidRPr="00D465CD">
        <w:t>postup</w:t>
      </w:r>
      <w:r>
        <w:t>u</w:t>
      </w:r>
      <w:r w:rsidRPr="00D465CD">
        <w:t xml:space="preserve"> vypracování a</w:t>
      </w:r>
      <w:r w:rsidR="00804D9A">
        <w:t> </w:t>
      </w:r>
      <w:r w:rsidRPr="00D465CD">
        <w:t>předkládání zpráv a dalších podkladů příjemcem</w:t>
      </w:r>
      <w:r>
        <w:t xml:space="preserve"> (dále </w:t>
      </w:r>
      <w:r w:rsidRPr="00796FCE">
        <w:t xml:space="preserve">též </w:t>
      </w:r>
      <w:r w:rsidR="00B3334D" w:rsidRPr="00796FCE">
        <w:t>m</w:t>
      </w:r>
      <w:r w:rsidRPr="00796FCE">
        <w:t>etodický postup)</w:t>
      </w:r>
      <w:r w:rsidRPr="00D465CD">
        <w:t xml:space="preserve"> </w:t>
      </w:r>
      <w:r>
        <w:t>je zásadní pro správné vy</w:t>
      </w:r>
      <w:r w:rsidR="0075464F">
        <w:t xml:space="preserve">kazování informací o projektech </w:t>
      </w:r>
      <w:r>
        <w:t>realiz</w:t>
      </w:r>
      <w:r w:rsidR="002E61CB">
        <w:t>ovaných v rámci příslušné výzvy.</w:t>
      </w:r>
      <w:r w:rsidR="00B3334D">
        <w:t xml:space="preserve"> </w:t>
      </w:r>
    </w:p>
    <w:p w14:paraId="30458B28" w14:textId="77777777" w:rsidR="003F781F" w:rsidRPr="002E61CB" w:rsidRDefault="003F781F" w:rsidP="00C77F9F">
      <w:pPr>
        <w:jc w:val="both"/>
        <w:rPr>
          <w:u w:val="single"/>
        </w:rPr>
      </w:pPr>
      <w:r w:rsidRPr="002E61CB">
        <w:rPr>
          <w:u w:val="single"/>
        </w:rPr>
        <w:t>Základní doporučení:</w:t>
      </w:r>
    </w:p>
    <w:p w14:paraId="76F85485" w14:textId="19D96F09" w:rsidR="003F781F" w:rsidRPr="00A575AE" w:rsidRDefault="003F781F" w:rsidP="007F5475">
      <w:pPr>
        <w:pStyle w:val="Odstavecseseznamem"/>
        <w:numPr>
          <w:ilvl w:val="0"/>
          <w:numId w:val="11"/>
        </w:numPr>
        <w:jc w:val="both"/>
      </w:pPr>
      <w:r w:rsidRPr="00A575AE">
        <w:t xml:space="preserve">Metodický postup vypracování a předkládání zpráv a dalších podkladů musí být </w:t>
      </w:r>
      <w:r w:rsidRPr="007028A8">
        <w:rPr>
          <w:b/>
        </w:rPr>
        <w:t>v souladu se zaměřením veřejné soutěže</w:t>
      </w:r>
      <w:r w:rsidRPr="00A575AE">
        <w:t xml:space="preserve"> (základní výzkum, aplikovaný výzkum, inovace atd.). Jiné</w:t>
      </w:r>
      <w:r w:rsidR="00804D9A">
        <w:t> </w:t>
      </w:r>
      <w:r w:rsidRPr="00A575AE">
        <w:t>požadavky jsou kladeny na projekty základního výzkumu a jiné na projekty aplikovaného výzkumu, a to s ohledem na cíle těchto projektů, a tudíž i jejich vykazování.</w:t>
      </w:r>
    </w:p>
    <w:p w14:paraId="2FCF6E19" w14:textId="2DC51ACC" w:rsidR="003F781F" w:rsidRPr="00A575AE" w:rsidRDefault="003F781F" w:rsidP="007F5475">
      <w:pPr>
        <w:pStyle w:val="Odstavecseseznamem"/>
        <w:numPr>
          <w:ilvl w:val="0"/>
          <w:numId w:val="11"/>
        </w:numPr>
        <w:jc w:val="both"/>
      </w:pPr>
      <w:r w:rsidRPr="00A575AE">
        <w:t xml:space="preserve">Základní podmínkou pro fungování </w:t>
      </w:r>
      <w:r w:rsidR="00D06DE4" w:rsidRPr="00796FCE">
        <w:t>m</w:t>
      </w:r>
      <w:r w:rsidRPr="00796FCE">
        <w:t xml:space="preserve">etodického </w:t>
      </w:r>
      <w:r w:rsidRPr="002B5A8C">
        <w:t>p</w:t>
      </w:r>
      <w:r w:rsidRPr="00A575AE">
        <w:t xml:space="preserve">ostupu je podmínka </w:t>
      </w:r>
      <w:r w:rsidRPr="007028A8">
        <w:rPr>
          <w:b/>
        </w:rPr>
        <w:t>jednoznačnosti popisu požadovaných údajů</w:t>
      </w:r>
      <w:r w:rsidRPr="00A575AE">
        <w:t xml:space="preserve"> a zároveň i proškolení kontrolních pracovníků a pracovníků poskytujících informace na straně poskytovatele tak, aby se minimalizovalo riziko několikerého výkladu téhož ze strany poskytovatele. </w:t>
      </w:r>
    </w:p>
    <w:p w14:paraId="43BF919E" w14:textId="41461911" w:rsidR="003F781F" w:rsidRPr="007A4045" w:rsidRDefault="003F781F" w:rsidP="007F5475">
      <w:pPr>
        <w:pStyle w:val="Odstavecseseznamem"/>
        <w:numPr>
          <w:ilvl w:val="0"/>
          <w:numId w:val="11"/>
        </w:numPr>
        <w:jc w:val="both"/>
      </w:pPr>
      <w:r>
        <w:t xml:space="preserve">Vedle </w:t>
      </w:r>
      <w:r w:rsidR="00D06DE4" w:rsidRPr="00796FCE">
        <w:t>m</w:t>
      </w:r>
      <w:r w:rsidRPr="00796FCE">
        <w:t>etodického postupu</w:t>
      </w:r>
      <w:r w:rsidRPr="002B5A8C">
        <w:t xml:space="preserve"> je</w:t>
      </w:r>
      <w:r w:rsidRPr="00A575AE">
        <w:t xml:space="preserve"> vhodné zajistit i možnost </w:t>
      </w:r>
      <w:r w:rsidRPr="007028A8">
        <w:rPr>
          <w:b/>
        </w:rPr>
        <w:t>konzultací příjemců účelové podpory</w:t>
      </w:r>
      <w:r w:rsidRPr="00A575AE">
        <w:t xml:space="preserve"> přímo u poskytovatele, čímž lze dále omezit riziko nesprávného pochopení požadavků na vykazování informací o realizaci projektu ze strany příjemců účelové podpory. Možnost konzultací je zcela zásadní v případě změn, které mají dopad zejména na plnění cílů projektu či indikátorů.</w:t>
      </w:r>
    </w:p>
    <w:p w14:paraId="274240C1" w14:textId="708E7D42" w:rsidR="003F781F" w:rsidRDefault="003F781F" w:rsidP="007F5475">
      <w:pPr>
        <w:pStyle w:val="Odstavecseseznamem"/>
        <w:numPr>
          <w:ilvl w:val="0"/>
          <w:numId w:val="11"/>
        </w:numPr>
        <w:jc w:val="both"/>
      </w:pPr>
      <w:r>
        <w:t xml:space="preserve">Věcné kontroly projektů jsou zaměřeny především na </w:t>
      </w:r>
      <w:r w:rsidRPr="007A4045">
        <w:rPr>
          <w:b/>
        </w:rPr>
        <w:t>vyhodnocování plnění cílů a</w:t>
      </w:r>
      <w:r w:rsidR="00804D9A">
        <w:rPr>
          <w:b/>
        </w:rPr>
        <w:t> </w:t>
      </w:r>
      <w:r w:rsidRPr="007A4045">
        <w:rPr>
          <w:b/>
        </w:rPr>
        <w:t>nastavených indikátorů</w:t>
      </w:r>
      <w:r>
        <w:t xml:space="preserve"> (výsledků, výstupů, dopadů) v daném čase a se schválenými finančními prostředky, příp. schválenými změnami věcnými a případně souvisejícími změnami </w:t>
      </w:r>
      <w:r>
        <w:lastRenderedPageBreak/>
        <w:t xml:space="preserve">čerpání finančních prostředků. V souladu se zaměřením </w:t>
      </w:r>
      <w:r w:rsidR="00BD3757" w:rsidRPr="00796FCE">
        <w:t>veřejné soutěž</w:t>
      </w:r>
      <w:r w:rsidR="00D06DE4" w:rsidRPr="00796FCE">
        <w:t>e</w:t>
      </w:r>
      <w:r w:rsidR="00BD3757" w:rsidRPr="00796FCE">
        <w:t xml:space="preserve"> </w:t>
      </w:r>
      <w:r w:rsidRPr="00796FCE">
        <w:t>je možné, aby</w:t>
      </w:r>
      <w:r w:rsidR="00804D9A">
        <w:t> </w:t>
      </w:r>
      <w:r w:rsidRPr="00796FCE">
        <w:t>poskytovatel rozšířil kontroly i na další oblasti, vždy však tak, aby ono rozšíření se</w:t>
      </w:r>
      <w:r>
        <w:t xml:space="preserve"> týkalo podstaty výzvy, případně konkrétního projektu a neznamenalo pro příjemce dokládání informací, které jsou již poskytovateli známy, nebo je možné, aby si je poskytovatel sám dohledal.</w:t>
      </w:r>
    </w:p>
    <w:p w14:paraId="33BAE43C" w14:textId="3C26971D" w:rsidR="003F781F" w:rsidRPr="00103B25" w:rsidRDefault="003F781F" w:rsidP="007F5475">
      <w:pPr>
        <w:pStyle w:val="Odstavecseseznamem"/>
        <w:numPr>
          <w:ilvl w:val="0"/>
          <w:numId w:val="11"/>
        </w:numPr>
        <w:jc w:val="both"/>
      </w:pPr>
      <w:r>
        <w:t xml:space="preserve">V případě nutnosti změny </w:t>
      </w:r>
      <w:r w:rsidR="00D06DE4" w:rsidRPr="00796FCE">
        <w:t>m</w:t>
      </w:r>
      <w:r w:rsidRPr="00796FCE">
        <w:t>etodického postupu je poskytovatel</w:t>
      </w:r>
      <w:r>
        <w:t xml:space="preserve"> povinen toto oznámit příjemcům včas a vhodným způsobem, např. zasláním informace na kontaktní osobu projektu v příslušném informačním systému a dále zveřejnit tyto změny na webových stránkách, kde je </w:t>
      </w:r>
      <w:r w:rsidRPr="00103B25">
        <w:t xml:space="preserve">zveřejněn </w:t>
      </w:r>
      <w:r w:rsidR="00D06DE4" w:rsidRPr="00796FCE">
        <w:t>m</w:t>
      </w:r>
      <w:r w:rsidRPr="00796FCE">
        <w:t>etodický postup</w:t>
      </w:r>
      <w:r w:rsidRPr="00D06DE4">
        <w:rPr>
          <w:i/>
          <w:iCs/>
        </w:rPr>
        <w:t>.</w:t>
      </w:r>
      <w:r w:rsidRPr="00103B25">
        <w:t xml:space="preserve"> Zároveň je nutné zvážit dopad do již uzavřených smluv/rozhodnutí, příp. navrhnout dodatek ke stávajícím.</w:t>
      </w:r>
    </w:p>
    <w:p w14:paraId="23D2AD83" w14:textId="77777777" w:rsidR="003F781F" w:rsidRDefault="003F781F" w:rsidP="003F781F"/>
    <w:p w14:paraId="64573AA7" w14:textId="7C3B9AB9" w:rsidR="003F781F" w:rsidRDefault="003F781F" w:rsidP="007F5475">
      <w:pPr>
        <w:pStyle w:val="Nadpis3"/>
        <w:numPr>
          <w:ilvl w:val="2"/>
          <w:numId w:val="19"/>
        </w:numPr>
      </w:pPr>
      <w:bookmarkStart w:id="40" w:name="_Toc195063179"/>
      <w:bookmarkStart w:id="41" w:name="_Toc195087077"/>
      <w:bookmarkStart w:id="42" w:name="_Toc195184952"/>
      <w:r>
        <w:t>Kontrola projektů a veřejných zakázek na základě poskytnutých zpráv</w:t>
      </w:r>
      <w:bookmarkEnd w:id="40"/>
      <w:bookmarkEnd w:id="41"/>
      <w:bookmarkEnd w:id="42"/>
    </w:p>
    <w:p w14:paraId="0171FE20" w14:textId="4420FAA3" w:rsidR="003F781F" w:rsidRPr="00796FCE" w:rsidRDefault="003F781F" w:rsidP="00C77F9F">
      <w:pPr>
        <w:jc w:val="both"/>
      </w:pPr>
      <w:r w:rsidRPr="00682D88">
        <w:t xml:space="preserve">Poskytovatel v souladu s nastavením výzvy a v souladu s údaji uvedenými ve </w:t>
      </w:r>
      <w:r w:rsidRPr="00C8609B">
        <w:t>smlouvách</w:t>
      </w:r>
      <w:r w:rsidR="00B91898" w:rsidRPr="00C8609B">
        <w:t>/</w:t>
      </w:r>
      <w:r w:rsidR="00B91898" w:rsidRPr="00796FCE">
        <w:t>rozhodnutích</w:t>
      </w:r>
      <w:r w:rsidRPr="00C8609B">
        <w:t xml:space="preserve"> o poskytnutí účelové podpory stanovuje termíny pro následující </w:t>
      </w:r>
      <w:r w:rsidRPr="00796FCE">
        <w:rPr>
          <w:b/>
        </w:rPr>
        <w:t>typy kontrol</w:t>
      </w:r>
      <w:r w:rsidR="008E471C" w:rsidRPr="00796FCE">
        <w:rPr>
          <w:b/>
        </w:rPr>
        <w:t>y realizace</w:t>
      </w:r>
      <w:r w:rsidRPr="00796FCE">
        <w:rPr>
          <w:b/>
        </w:rPr>
        <w:t xml:space="preserve"> projektů</w:t>
      </w:r>
      <w:r w:rsidR="008E471C" w:rsidRPr="00796FCE">
        <w:rPr>
          <w:b/>
        </w:rPr>
        <w:t>/veřejných zakázek</w:t>
      </w:r>
      <w:r w:rsidRPr="00796FCE">
        <w:rPr>
          <w:b/>
        </w:rPr>
        <w:t xml:space="preserve"> účelové podpory</w:t>
      </w:r>
      <w:r w:rsidRPr="00796FCE">
        <w:t>:</w:t>
      </w:r>
    </w:p>
    <w:p w14:paraId="0D2EC2DB" w14:textId="77777777" w:rsidR="003F781F" w:rsidRPr="00682D88" w:rsidRDefault="003F781F" w:rsidP="007F5475">
      <w:pPr>
        <w:pStyle w:val="Odstavecseseznamem"/>
        <w:numPr>
          <w:ilvl w:val="0"/>
          <w:numId w:val="11"/>
        </w:numPr>
        <w:jc w:val="both"/>
      </w:pPr>
      <w:r w:rsidRPr="002F2D91">
        <w:rPr>
          <w:b/>
        </w:rPr>
        <w:t>Průběžná zpráva</w:t>
      </w:r>
      <w:r w:rsidRPr="00682D88">
        <w:t xml:space="preserve"> o postupu řešení projektu je předkládána zpravidla za každý rok řešení.</w:t>
      </w:r>
      <w:r>
        <w:t xml:space="preserve"> Jedná-li se o jednoletý projekt, pak tato zpráva je zprávou závěrečnou.</w:t>
      </w:r>
    </w:p>
    <w:p w14:paraId="55F60BFF" w14:textId="77777777" w:rsidR="003F781F" w:rsidRPr="00682D88" w:rsidRDefault="003F781F" w:rsidP="007F5475">
      <w:pPr>
        <w:pStyle w:val="Odstavecseseznamem"/>
        <w:numPr>
          <w:ilvl w:val="0"/>
          <w:numId w:val="11"/>
        </w:numPr>
        <w:jc w:val="both"/>
      </w:pPr>
      <w:r w:rsidRPr="002F2D91">
        <w:rPr>
          <w:b/>
        </w:rPr>
        <w:t>Závěrečná zpráva</w:t>
      </w:r>
      <w:r w:rsidRPr="00682D88">
        <w:t xml:space="preserve"> o řešení projektu většinou obsahuje i implementační plán, přičemž závěrečná zpráva nahrazuje průběžnou zprávu za poslední rok či poslední etapu řešení projektu.</w:t>
      </w:r>
    </w:p>
    <w:p w14:paraId="5B372311" w14:textId="77777777" w:rsidR="003F781F" w:rsidRPr="00682D88" w:rsidRDefault="003F781F" w:rsidP="007F5475">
      <w:pPr>
        <w:pStyle w:val="Odstavecseseznamem"/>
        <w:numPr>
          <w:ilvl w:val="0"/>
          <w:numId w:val="11"/>
        </w:numPr>
        <w:jc w:val="both"/>
      </w:pPr>
      <w:r w:rsidRPr="00682D88">
        <w:t xml:space="preserve">Délka doby implementace je většinou stanovena v textu veřejné soutěže a počíná rokem následujícím po roce, v němž byl projekt ukončen. Je na poskytovateli, zdali bude požadovat </w:t>
      </w:r>
      <w:r w:rsidRPr="002F2D91">
        <w:rPr>
          <w:b/>
        </w:rPr>
        <w:t>implementační zprávu</w:t>
      </w:r>
      <w:r>
        <w:t xml:space="preserve"> pouze</w:t>
      </w:r>
      <w:r w:rsidRPr="00682D88">
        <w:t xml:space="preserve"> na konci implementačního období nebo i v průběhu této doby.</w:t>
      </w:r>
    </w:p>
    <w:p w14:paraId="6D493B35" w14:textId="77777777" w:rsidR="003F781F" w:rsidRPr="00682D88" w:rsidRDefault="003F781F" w:rsidP="007F5475">
      <w:pPr>
        <w:pStyle w:val="Odstavecseseznamem"/>
        <w:numPr>
          <w:ilvl w:val="0"/>
          <w:numId w:val="11"/>
        </w:numPr>
        <w:jc w:val="both"/>
      </w:pPr>
      <w:r w:rsidRPr="00682D88">
        <w:t>U mezinárodních projektů je nutné přihlížet i k podmínkám daným zahraničním poskytovatelem.</w:t>
      </w:r>
    </w:p>
    <w:p w14:paraId="2D716002" w14:textId="145BEE7E" w:rsidR="003F781F" w:rsidRPr="00CA4FE4" w:rsidRDefault="003F781F" w:rsidP="007F5475">
      <w:pPr>
        <w:pStyle w:val="Odstavecseseznamem"/>
        <w:numPr>
          <w:ilvl w:val="0"/>
          <w:numId w:val="11"/>
        </w:numPr>
        <w:jc w:val="both"/>
      </w:pPr>
      <w:r w:rsidRPr="00CA4FE4">
        <w:rPr>
          <w:b/>
        </w:rPr>
        <w:t>Kontrola veřejné zakázky</w:t>
      </w:r>
      <w:r w:rsidRPr="00CA4FE4">
        <w:t xml:space="preserve"> se řídí pravidly danými </w:t>
      </w:r>
      <w:r w:rsidR="001C39A2">
        <w:t>z</w:t>
      </w:r>
      <w:r w:rsidRPr="00CA4FE4">
        <w:t>ákonem č. 134/2016 Sb. o zadávání veřejných zakázek a nastavením uvedeným v zadávací dokumentaci a smlouvě mezi poskytovatelem účelové podpory, tj. objednatelem a dodavatelem, tj. včetně případného vymáhání sankcí za nedodržení podmínek veřejné zakázky.</w:t>
      </w:r>
    </w:p>
    <w:p w14:paraId="717CFB06" w14:textId="2CFB5452" w:rsidR="003F781F" w:rsidRDefault="003F781F" w:rsidP="007F5475">
      <w:pPr>
        <w:pStyle w:val="Odstavecseseznamem"/>
        <w:numPr>
          <w:ilvl w:val="0"/>
          <w:numId w:val="11"/>
        </w:numPr>
        <w:jc w:val="both"/>
      </w:pPr>
      <w:r w:rsidRPr="00C377B8">
        <w:t xml:space="preserve">Poskytovatel je povinen provádět v rámci jednotlivých </w:t>
      </w:r>
      <w:r w:rsidRPr="00796FCE">
        <w:t>kontrol rovněž</w:t>
      </w:r>
      <w:r w:rsidR="00BE1452" w:rsidRPr="00796FCE">
        <w:t xml:space="preserve"> </w:t>
      </w:r>
      <w:r w:rsidRPr="00796FCE">
        <w:rPr>
          <w:b/>
          <w:bCs/>
        </w:rPr>
        <w:t>kontrolu čerpání a</w:t>
      </w:r>
      <w:r w:rsidR="00804D9A">
        <w:rPr>
          <w:b/>
          <w:bCs/>
        </w:rPr>
        <w:t> </w:t>
      </w:r>
      <w:r w:rsidRPr="00796FCE">
        <w:rPr>
          <w:b/>
          <w:bCs/>
        </w:rPr>
        <w:t>využívání podpory</w:t>
      </w:r>
      <w:r w:rsidRPr="002B5A8C">
        <w:t xml:space="preserve"> (viz</w:t>
      </w:r>
      <w:r w:rsidR="000562EF" w:rsidRPr="002B5A8C">
        <w:t xml:space="preserve"> § 13</w:t>
      </w:r>
      <w:r w:rsidRPr="002B5A8C">
        <w:t xml:space="preserve"> </w:t>
      </w:r>
      <w:r w:rsidR="001C39A2">
        <w:t>z</w:t>
      </w:r>
      <w:r w:rsidRPr="002B5A8C">
        <w:t>ákon</w:t>
      </w:r>
      <w:r w:rsidR="000562EF" w:rsidRPr="002B5A8C">
        <w:t>a</w:t>
      </w:r>
      <w:r w:rsidR="00C377B8" w:rsidRPr="002B5A8C">
        <w:t xml:space="preserve"> </w:t>
      </w:r>
      <w:r w:rsidR="00C9161B">
        <w:t xml:space="preserve">č. </w:t>
      </w:r>
      <w:r w:rsidR="00C377B8" w:rsidRPr="002B5A8C">
        <w:t>130/2002 Sb.</w:t>
      </w:r>
      <w:r w:rsidRPr="002B5A8C">
        <w:t>) v souladu se způsobilými náklady/</w:t>
      </w:r>
      <w:r w:rsidRPr="00C377B8">
        <w:t xml:space="preserve">výdaji (viz </w:t>
      </w:r>
      <w:r w:rsidR="000562EF" w:rsidRPr="00C377B8">
        <w:t>§ 2 odst. 2 písm. l)</w:t>
      </w:r>
      <w:r w:rsidR="00C9161B">
        <w:t xml:space="preserve"> a</w:t>
      </w:r>
      <w:r w:rsidR="000562EF" w:rsidRPr="00C377B8">
        <w:t xml:space="preserve"> m) </w:t>
      </w:r>
      <w:r w:rsidR="001C39A2">
        <w:t>z</w:t>
      </w:r>
      <w:r w:rsidRPr="00C377B8">
        <w:t>ákon</w:t>
      </w:r>
      <w:r w:rsidR="000562EF" w:rsidRPr="00C377B8">
        <w:t>a</w:t>
      </w:r>
      <w:r w:rsidRPr="00C377B8">
        <w:t xml:space="preserve"> </w:t>
      </w:r>
      <w:r w:rsidR="00C9161B">
        <w:t xml:space="preserve">č. </w:t>
      </w:r>
      <w:r w:rsidRPr="00C377B8">
        <w:t xml:space="preserve">130/2002 Sb.), které poskytovatel stanovil v obecných nebo ve specifických pravidlech, a zároveň v souladu se schváleným rozpočtem projektu, případně schválenými změnami čerpání podpory projektu. Nezbytnou </w:t>
      </w:r>
      <w:r w:rsidRPr="00796FCE">
        <w:t>součástí kontroly</w:t>
      </w:r>
      <w:r w:rsidRPr="002B5A8C">
        <w:t xml:space="preserve"> by</w:t>
      </w:r>
      <w:r w:rsidRPr="00C377B8">
        <w:t xml:space="preserve"> měla být i kontrola </w:t>
      </w:r>
      <w:r w:rsidR="00C377B8">
        <w:t xml:space="preserve">čerpání podpory podle principů </w:t>
      </w:r>
      <w:r w:rsidRPr="00C377B8">
        <w:t xml:space="preserve">účelnosti, hospodárnosti a efektivnosti. </w:t>
      </w:r>
    </w:p>
    <w:p w14:paraId="3053D6D0" w14:textId="34F1E9C7" w:rsidR="00060C16" w:rsidRPr="00796FCE" w:rsidRDefault="00060C16" w:rsidP="007F5475">
      <w:pPr>
        <w:pStyle w:val="Odstavecseseznamem"/>
        <w:numPr>
          <w:ilvl w:val="0"/>
          <w:numId w:val="11"/>
        </w:numPr>
        <w:jc w:val="both"/>
      </w:pPr>
      <w:r w:rsidRPr="00796FCE">
        <w:t xml:space="preserve">V případě odůvodněného podezření poskytovatele, že projekt není realizován v souladu s veřejnou soutěží, schváleným projektem, případně při podezření na zásadní finanční či jiné nesrovnalosti při realizaci projektu je možné, aby poskytovatel v odůvodněných případech požadoval po příjemci </w:t>
      </w:r>
      <w:r w:rsidRPr="00796FCE">
        <w:rPr>
          <w:b/>
        </w:rPr>
        <w:t>mimořádnou zprávu</w:t>
      </w:r>
      <w:r w:rsidRPr="00796FCE">
        <w:t>. Možnost uplatnění uvedeného postupu je však nutné uvést v obecných podmínkách ke všem veřejným soutěžím daného programu nebo v</w:t>
      </w:r>
      <w:r w:rsidR="00804D9A">
        <w:t> </w:t>
      </w:r>
      <w:r w:rsidRPr="00796FCE">
        <w:t xml:space="preserve">dokumentaci k dané veřejné soutěži a dále i ve smlouvě/rozhodnutí. Důsledky porušení ustanovení zákona jsou specifikovány v § 14 </w:t>
      </w:r>
      <w:r w:rsidR="001C39A2">
        <w:t>z</w:t>
      </w:r>
      <w:r w:rsidRPr="00796FCE">
        <w:t>ákona č. 130/2002 Sb.</w:t>
      </w:r>
    </w:p>
    <w:p w14:paraId="3FC0512B" w14:textId="515733CA" w:rsidR="002B5A8C" w:rsidRPr="00001ED8" w:rsidRDefault="00060C16" w:rsidP="007F5475">
      <w:pPr>
        <w:pStyle w:val="Odstavecseseznamem"/>
        <w:numPr>
          <w:ilvl w:val="0"/>
          <w:numId w:val="11"/>
        </w:numPr>
        <w:jc w:val="both"/>
      </w:pPr>
      <w:r w:rsidRPr="002B5A8C">
        <w:t xml:space="preserve">Všechny typy zpráv by měly být předkládány v informačním systému poskytovatele, včetně předkládání </w:t>
      </w:r>
      <w:r w:rsidRPr="00001ED8">
        <w:t>veškerých příloh a samozřejmé možnosti elektronického podepisování všech předkládaných dokumentů. Povinné přílohy zpráv musí být vyjmenovány v obecných či</w:t>
      </w:r>
      <w:r w:rsidR="00804D9A">
        <w:t> </w:t>
      </w:r>
      <w:r w:rsidRPr="00001ED8">
        <w:t>specifických pravidlech, nejsou-li přímo nadefinovány v informačním systému účelové podpory daného poskytovatele.</w:t>
      </w:r>
    </w:p>
    <w:p w14:paraId="73E4F953" w14:textId="77777777" w:rsidR="008E471C" w:rsidRDefault="008E471C" w:rsidP="000470B1">
      <w:pPr>
        <w:jc w:val="both"/>
      </w:pPr>
    </w:p>
    <w:p w14:paraId="0BE801FC" w14:textId="23EF9BC6" w:rsidR="008E471C" w:rsidRPr="00796FCE" w:rsidRDefault="000470B1" w:rsidP="00883DC3">
      <w:pPr>
        <w:jc w:val="both"/>
        <w:rPr>
          <w:b/>
          <w:bCs/>
          <w:sz w:val="24"/>
          <w:szCs w:val="24"/>
        </w:rPr>
      </w:pPr>
      <w:r>
        <w:rPr>
          <w:b/>
          <w:bCs/>
          <w:sz w:val="24"/>
          <w:szCs w:val="24"/>
        </w:rPr>
        <w:t>7</w:t>
      </w:r>
      <w:r w:rsidR="00883DC3" w:rsidRPr="00796FCE">
        <w:rPr>
          <w:b/>
          <w:bCs/>
          <w:sz w:val="24"/>
          <w:szCs w:val="24"/>
        </w:rPr>
        <w:t>.2.2. Veřejnosprávní kontroly projektů</w:t>
      </w:r>
    </w:p>
    <w:p w14:paraId="3FCE5042" w14:textId="2D353656" w:rsidR="0013642C" w:rsidRPr="00796FCE" w:rsidRDefault="0013642C" w:rsidP="007F5475">
      <w:pPr>
        <w:pStyle w:val="Odstavecseseznamem"/>
        <w:numPr>
          <w:ilvl w:val="0"/>
          <w:numId w:val="11"/>
        </w:numPr>
        <w:jc w:val="both"/>
      </w:pPr>
      <w:r w:rsidRPr="00796FCE">
        <w:t xml:space="preserve">Zákon </w:t>
      </w:r>
      <w:r w:rsidR="00C9161B">
        <w:t xml:space="preserve">č. </w:t>
      </w:r>
      <w:r w:rsidRPr="00796FCE">
        <w:t xml:space="preserve">130/2002 Sb. stanoví v §13 odst. 3 povinnost pro poskytovatele </w:t>
      </w:r>
      <w:r w:rsidR="008E471C" w:rsidRPr="00796FCE">
        <w:t xml:space="preserve">provádět </w:t>
      </w:r>
      <w:r w:rsidR="008E471C" w:rsidRPr="00796FCE">
        <w:rPr>
          <w:b/>
          <w:bCs/>
        </w:rPr>
        <w:t xml:space="preserve">finanční </w:t>
      </w:r>
      <w:r w:rsidRPr="00796FCE">
        <w:rPr>
          <w:b/>
          <w:bCs/>
        </w:rPr>
        <w:t>kontrolu</w:t>
      </w:r>
      <w:r w:rsidRPr="00796FCE">
        <w:t xml:space="preserve"> nejméně objemu 5% účelové podpory poskytnuté poskytovatelem v daném kalendářním roce. Při výběru kontrolovaných projektů je nutné vycházet z analýzy rizikovosti realizovaných projektů tak, aby se předešlo případnému nesplnění cílů projektů či</w:t>
      </w:r>
      <w:r w:rsidR="00804D9A">
        <w:t> </w:t>
      </w:r>
      <w:r w:rsidRPr="00796FCE">
        <w:t>neodpovídajícímu čerpání a využívání účelové podpory</w:t>
      </w:r>
      <w:r w:rsidR="00F85BC4" w:rsidRPr="00796FCE">
        <w:t xml:space="preserve"> ze strany příjemců</w:t>
      </w:r>
      <w:r w:rsidRPr="00796FCE">
        <w:t>.</w:t>
      </w:r>
    </w:p>
    <w:p w14:paraId="32B5594B" w14:textId="5F4BCB33" w:rsidR="0013642C" w:rsidRPr="00796FCE" w:rsidRDefault="0013642C" w:rsidP="007F5475">
      <w:pPr>
        <w:pStyle w:val="Odstavecseseznamem"/>
        <w:numPr>
          <w:ilvl w:val="0"/>
          <w:numId w:val="11"/>
        </w:numPr>
        <w:jc w:val="both"/>
      </w:pPr>
      <w:r w:rsidRPr="00796FCE">
        <w:t>Vzhledem k optimalizaci provádění množství kontrol u příjemců účelové dotace</w:t>
      </w:r>
      <w:r w:rsidR="00F85BC4" w:rsidRPr="00796FCE">
        <w:t xml:space="preserve"> je žádoucí plánovat kontrolní činnost podle </w:t>
      </w:r>
      <w:r w:rsidR="001C39A2">
        <w:t>z</w:t>
      </w:r>
      <w:r w:rsidR="00F85BC4" w:rsidRPr="00796FCE">
        <w:t xml:space="preserve">ákona </w:t>
      </w:r>
      <w:r w:rsidR="00C9161B">
        <w:t xml:space="preserve">č. </w:t>
      </w:r>
      <w:r w:rsidR="00F85BC4" w:rsidRPr="00796FCE">
        <w:t>320/2001 Sb., o finanční kontrole ve veřejné správě a o změně některých zákonů (zákon o finanční kontrole), ve znění pozdějších předpisů. Zároveň je vhodné při plánování kontrol využívat i informace o kontrolách uvedené v informačním systému Finanční kontroly ve veřejné správě vedeném Ministerstvem financí.</w:t>
      </w:r>
    </w:p>
    <w:p w14:paraId="745A6534" w14:textId="77777777" w:rsidR="003F781F" w:rsidRDefault="003F781F" w:rsidP="003F781F">
      <w:pPr>
        <w:pStyle w:val="Odstavecseseznamem"/>
      </w:pPr>
    </w:p>
    <w:p w14:paraId="413AC47E" w14:textId="2F4964E4" w:rsidR="003F781F" w:rsidRDefault="003F781F" w:rsidP="007F5475">
      <w:pPr>
        <w:pStyle w:val="Nadpis2"/>
        <w:numPr>
          <w:ilvl w:val="1"/>
          <w:numId w:val="19"/>
        </w:numPr>
        <w:ind w:left="718"/>
      </w:pPr>
      <w:bookmarkStart w:id="43" w:name="_Toc195184953"/>
      <w:bookmarkStart w:id="44" w:name="_Toc181301996"/>
      <w:r>
        <w:t>Změnová řízení projektů</w:t>
      </w:r>
      <w:bookmarkEnd w:id="43"/>
    </w:p>
    <w:p w14:paraId="7E0950F3" w14:textId="0C456A5F" w:rsidR="003F781F" w:rsidRPr="00001ED8" w:rsidRDefault="003F781F" w:rsidP="00804D9A">
      <w:pPr>
        <w:jc w:val="both"/>
        <w:rPr>
          <w:b/>
        </w:rPr>
      </w:pPr>
      <w:bookmarkStart w:id="45" w:name="_Toc184664195"/>
      <w:bookmarkStart w:id="46" w:name="_Toc184737283"/>
      <w:bookmarkStart w:id="47" w:name="_Toc184896341"/>
      <w:bookmarkStart w:id="48" w:name="_Toc184922026"/>
      <w:bookmarkStart w:id="49" w:name="_Toc184927973"/>
      <w:bookmarkStart w:id="50" w:name="_Toc187769108"/>
      <w:bookmarkStart w:id="51" w:name="_Toc187769179"/>
      <w:bookmarkStart w:id="52" w:name="_Toc190622713"/>
      <w:bookmarkStart w:id="53" w:name="_Toc190626838"/>
      <w:bookmarkStart w:id="54" w:name="_Toc190627654"/>
      <w:bookmarkStart w:id="55" w:name="_Toc190881117"/>
      <w:bookmarkStart w:id="56" w:name="_Toc194562171"/>
      <w:bookmarkStart w:id="57" w:name="_Toc192517086"/>
      <w:r w:rsidRPr="001D2618">
        <w:t xml:space="preserve">Poskytovatel v obecných </w:t>
      </w:r>
      <w:r>
        <w:t xml:space="preserve">podmínkách ke všem </w:t>
      </w:r>
      <w:r w:rsidR="00892D89" w:rsidRPr="00796FCE">
        <w:t>veřejným soutěžím</w:t>
      </w:r>
      <w:r w:rsidR="00892D89" w:rsidRPr="00001ED8">
        <w:t xml:space="preserve"> </w:t>
      </w:r>
      <w:r w:rsidRPr="00001ED8">
        <w:t>programu</w:t>
      </w:r>
      <w:r>
        <w:t xml:space="preserve"> nebo případně v</w:t>
      </w:r>
      <w:r w:rsidR="00804D9A">
        <w:t> </w:t>
      </w:r>
      <w:r>
        <w:t xml:space="preserve">dokumentaci k dané </w:t>
      </w:r>
      <w:r w:rsidRPr="001D2618">
        <w:t>veř</w:t>
      </w:r>
      <w:r>
        <w:t xml:space="preserve">ejné soutěži zveřejní </w:t>
      </w:r>
      <w:r w:rsidRPr="003A32DA">
        <w:t xml:space="preserve">základní podmínky pro změnová </w:t>
      </w:r>
      <w:r w:rsidRPr="00001ED8">
        <w:t>řízení</w:t>
      </w:r>
      <w:r w:rsidR="00237428" w:rsidRPr="00001ED8">
        <w:t xml:space="preserve">, </w:t>
      </w:r>
      <w:r w:rsidR="00237428" w:rsidRPr="00796FCE">
        <w:t xml:space="preserve">a to v souladu </w:t>
      </w:r>
      <w:r w:rsidR="00804D9A">
        <w:t> </w:t>
      </w:r>
      <w:r w:rsidR="00237428" w:rsidRPr="00796FCE">
        <w:t xml:space="preserve"> §</w:t>
      </w:r>
      <w:r w:rsidR="00C9161B">
        <w:t> </w:t>
      </w:r>
      <w:r w:rsidR="00237428" w:rsidRPr="00796FCE">
        <w:t xml:space="preserve">9 odst. 7 a 8 </w:t>
      </w:r>
      <w:r w:rsidR="001C39A2">
        <w:t>z</w:t>
      </w:r>
      <w:r w:rsidR="00237428" w:rsidRPr="00796FCE">
        <w:t xml:space="preserve">ákona </w:t>
      </w:r>
      <w:r w:rsidR="00C9161B">
        <w:t xml:space="preserve">č. </w:t>
      </w:r>
      <w:r w:rsidR="00237428" w:rsidRPr="00796FCE">
        <w:t>130/2002Sb</w:t>
      </w:r>
      <w:r w:rsidRPr="00796FCE">
        <w:t>.</w:t>
      </w:r>
      <w:r w:rsidRPr="00001ED8">
        <w:t xml:space="preserve"> Na ně odkáže rovněž ve smlouvě/rozhodnutí o</w:t>
      </w:r>
      <w:r w:rsidR="00804D9A">
        <w:t> </w:t>
      </w:r>
      <w:r w:rsidRPr="00001ED8">
        <w:t xml:space="preserve">poskytnutí účelové podpory. Obecně lze změnová řízení </w:t>
      </w:r>
      <w:r w:rsidRPr="00796FCE">
        <w:t xml:space="preserve">rozdělit </w:t>
      </w:r>
      <w:r w:rsidR="00883DC3" w:rsidRPr="00796FCE">
        <w:t>na</w:t>
      </w:r>
      <w:r w:rsidRPr="00001ED8">
        <w:t xml:space="preserve"> změnová řízení s dopadem do rozpočtu projektu a změnová řízení bez tohoto dopadu. I ty lze dále členit na podstatné a nepodstatné změny vždy však s ohledem na nastavení programu</w:t>
      </w:r>
      <w:r w:rsidR="00F31121" w:rsidRPr="00001ED8">
        <w:t>,</w:t>
      </w:r>
      <w:r w:rsidRPr="00001ED8">
        <w:t xml:space="preserve"> resp. veře</w:t>
      </w:r>
      <w:r w:rsidR="00A24A10" w:rsidRPr="00001ED8">
        <w:t xml:space="preserve">jné soutěže, na nastavení cílů </w:t>
      </w:r>
      <w:r w:rsidRPr="00001ED8">
        <w:t>aj. Poskytovatel je povinen vymezit také ty změny, které podléhají pouze oznámení.</w:t>
      </w:r>
      <w:bookmarkEnd w:id="45"/>
      <w:bookmarkEnd w:id="46"/>
      <w:bookmarkEnd w:id="47"/>
      <w:bookmarkEnd w:id="48"/>
      <w:bookmarkEnd w:id="49"/>
      <w:bookmarkEnd w:id="50"/>
      <w:bookmarkEnd w:id="51"/>
      <w:bookmarkEnd w:id="52"/>
      <w:bookmarkEnd w:id="53"/>
      <w:bookmarkEnd w:id="54"/>
      <w:bookmarkEnd w:id="55"/>
      <w:bookmarkEnd w:id="56"/>
      <w:r w:rsidRPr="00001ED8">
        <w:t xml:space="preserve"> </w:t>
      </w:r>
      <w:bookmarkEnd w:id="57"/>
    </w:p>
    <w:p w14:paraId="08B0E344" w14:textId="77777777" w:rsidR="00E90D78" w:rsidRPr="00B12D37" w:rsidRDefault="00E90D78" w:rsidP="00C77F9F">
      <w:pPr>
        <w:jc w:val="both"/>
      </w:pPr>
    </w:p>
    <w:p w14:paraId="56C15758" w14:textId="77777777" w:rsidR="003F781F" w:rsidRPr="00E90D78" w:rsidRDefault="003F781F" w:rsidP="00C77F9F">
      <w:pPr>
        <w:jc w:val="both"/>
        <w:rPr>
          <w:u w:val="single"/>
        </w:rPr>
      </w:pPr>
      <w:r w:rsidRPr="00E90D78">
        <w:rPr>
          <w:u w:val="single"/>
        </w:rPr>
        <w:t>Základní doporučení:</w:t>
      </w:r>
    </w:p>
    <w:p w14:paraId="5240AE79" w14:textId="1E247888" w:rsidR="003F781F" w:rsidRPr="00103B25" w:rsidRDefault="00ED5199" w:rsidP="007F5475">
      <w:pPr>
        <w:pStyle w:val="Odstavecseseznamem"/>
        <w:numPr>
          <w:ilvl w:val="0"/>
          <w:numId w:val="12"/>
        </w:numPr>
        <w:jc w:val="both"/>
      </w:pPr>
      <w:r w:rsidRPr="00796FCE">
        <w:t>Uchazeči</w:t>
      </w:r>
      <w:r w:rsidR="00001ED8" w:rsidRPr="00001ED8">
        <w:t>/příjemci</w:t>
      </w:r>
      <w:r w:rsidRPr="00001ED8">
        <w:t xml:space="preserve"> </w:t>
      </w:r>
      <w:r w:rsidR="003F781F" w:rsidRPr="00001ED8">
        <w:t>musí být známy transparentní podmínky změnového řízení již při předkládání žádosti</w:t>
      </w:r>
      <w:r w:rsidR="003F781F" w:rsidRPr="00103B25">
        <w:t xml:space="preserve">. Tyto podmínky musí být v souladu s platnou legislativou. </w:t>
      </w:r>
    </w:p>
    <w:p w14:paraId="16723A31" w14:textId="6A4AA340" w:rsidR="003F781F" w:rsidRPr="00001ED8" w:rsidRDefault="003F781F" w:rsidP="007F5475">
      <w:pPr>
        <w:pStyle w:val="Odstavecseseznamem"/>
        <w:numPr>
          <w:ilvl w:val="0"/>
          <w:numId w:val="12"/>
        </w:numPr>
        <w:jc w:val="both"/>
      </w:pPr>
      <w:r w:rsidRPr="00001ED8">
        <w:t xml:space="preserve">Poskytovatel při stanovení podmínek pro změnová řízení musí vycházet především </w:t>
      </w:r>
      <w:r w:rsidR="00B221CF" w:rsidRPr="00796FCE">
        <w:t xml:space="preserve">ze </w:t>
      </w:r>
      <w:r w:rsidR="001C39A2">
        <w:t>z</w:t>
      </w:r>
      <w:r w:rsidR="00B221CF" w:rsidRPr="00796FCE">
        <w:t>ákona</w:t>
      </w:r>
      <w:r w:rsidR="00C9161B">
        <w:t> č.</w:t>
      </w:r>
      <w:r w:rsidR="00804D9A">
        <w:t> </w:t>
      </w:r>
      <w:r w:rsidR="00B221CF" w:rsidRPr="00796FCE">
        <w:t>130/2002 Sb. a další legislativy ČR stejně tak, jako</w:t>
      </w:r>
      <w:r w:rsidR="00B221CF" w:rsidRPr="00001ED8">
        <w:t xml:space="preserve"> </w:t>
      </w:r>
      <w:r w:rsidRPr="00001ED8">
        <w:t>ze zaměření programu, případně konkrétní veřejné soutěže (např. základní výzkum, aplikovaný výzkum atd.).</w:t>
      </w:r>
    </w:p>
    <w:p w14:paraId="372F224C" w14:textId="77777777" w:rsidR="003F781F" w:rsidRPr="00103B25" w:rsidRDefault="003F781F" w:rsidP="007F5475">
      <w:pPr>
        <w:pStyle w:val="Odstavecseseznamem"/>
        <w:numPr>
          <w:ilvl w:val="0"/>
          <w:numId w:val="12"/>
        </w:numPr>
        <w:jc w:val="both"/>
      </w:pPr>
      <w:r w:rsidRPr="00103B25">
        <w:t>Zároveň musí poskytovatel do jisté míry individuálně přistupovat ke každému změnovému řízení, neboť je většina návrhů na změny ze strany příjemců účelové dotace jedinečná nejen obsahem, ale zejména okolnostmi, případně dopady změny do realizace projektu.</w:t>
      </w:r>
    </w:p>
    <w:p w14:paraId="264395CD" w14:textId="77777777" w:rsidR="003F781F" w:rsidRPr="00103B25" w:rsidRDefault="003F781F" w:rsidP="007F5475">
      <w:pPr>
        <w:pStyle w:val="Odstavecseseznamem"/>
        <w:numPr>
          <w:ilvl w:val="0"/>
          <w:numId w:val="12"/>
        </w:numPr>
        <w:jc w:val="both"/>
      </w:pPr>
      <w:r w:rsidRPr="00103B25">
        <w:t>Součástí nastavených podmínek pro změnová řízení musí být i termíny pro vyřízení žádostí ze strany poskytovatele i se zohledněním možného prodloužení lhůt v případě vyjasňování předmětu žádostí, jeho okolností a dopadů do realizace projektu.</w:t>
      </w:r>
    </w:p>
    <w:p w14:paraId="09D6AB4C" w14:textId="77777777" w:rsidR="003F781F" w:rsidRPr="00103B25" w:rsidRDefault="003F781F" w:rsidP="007F5475">
      <w:pPr>
        <w:pStyle w:val="Odstavecseseznamem"/>
        <w:numPr>
          <w:ilvl w:val="0"/>
          <w:numId w:val="12"/>
        </w:numPr>
        <w:jc w:val="both"/>
      </w:pPr>
      <w:r w:rsidRPr="00103B25">
        <w:t>V případě změn, které podléhají pouze oznámení poskytovateli, je nutné stanovit lhůty, do kdy mají být tyto oznámeny, případně sdělit další požadavky dokládající změnu nebo související se změnou (např. změna statutárního zástupce).</w:t>
      </w:r>
    </w:p>
    <w:p w14:paraId="0B764393" w14:textId="77777777" w:rsidR="003F781F" w:rsidRPr="00103B25" w:rsidRDefault="003F781F" w:rsidP="007F5475">
      <w:pPr>
        <w:pStyle w:val="Odstavecseseznamem"/>
        <w:numPr>
          <w:ilvl w:val="0"/>
          <w:numId w:val="12"/>
        </w:numPr>
        <w:jc w:val="both"/>
      </w:pPr>
      <w:r w:rsidRPr="00103B25">
        <w:t>Umožnit předkladateli/příjemci dotace realizovat změny již ode dne podání žádosti o změnu. Na příjemci je, aby zvážil potenciální riziko neuznání navrhované změny.</w:t>
      </w:r>
    </w:p>
    <w:p w14:paraId="6D7FB677" w14:textId="7986F379" w:rsidR="003F781F" w:rsidRDefault="003F781F" w:rsidP="007F5475">
      <w:pPr>
        <w:pStyle w:val="Odstavecseseznamem"/>
        <w:numPr>
          <w:ilvl w:val="0"/>
          <w:numId w:val="12"/>
        </w:numPr>
        <w:jc w:val="both"/>
      </w:pPr>
      <w:r w:rsidRPr="00103B25">
        <w:t>Umožnit příjemcům předkládat změnová řízení v příslušném informačním systém</w:t>
      </w:r>
      <w:r>
        <w:t>u poskytovatele, je-li to možné.</w:t>
      </w:r>
    </w:p>
    <w:p w14:paraId="5787DE87" w14:textId="07BB4E9F" w:rsidR="003F781F" w:rsidRPr="00103B25" w:rsidRDefault="003F781F" w:rsidP="003F781F"/>
    <w:p w14:paraId="1270BF15" w14:textId="42C23892" w:rsidR="003F781F" w:rsidRPr="00103B25" w:rsidRDefault="003F781F" w:rsidP="007F5475">
      <w:pPr>
        <w:pStyle w:val="Nadpis2"/>
        <w:numPr>
          <w:ilvl w:val="1"/>
          <w:numId w:val="19"/>
        </w:numPr>
        <w:ind w:left="718"/>
      </w:pPr>
      <w:bookmarkStart w:id="58" w:name="_Toc190627655"/>
      <w:bookmarkStart w:id="59" w:name="_Toc195184954"/>
      <w:r w:rsidRPr="00103B25">
        <w:lastRenderedPageBreak/>
        <w:t>Závěrečná hodnocení projektů</w:t>
      </w:r>
      <w:bookmarkEnd w:id="44"/>
      <w:r w:rsidRPr="00103B25">
        <w:t xml:space="preserve"> a hodnocení dopadů projektů</w:t>
      </w:r>
      <w:bookmarkEnd w:id="58"/>
      <w:bookmarkEnd w:id="59"/>
    </w:p>
    <w:p w14:paraId="02554C33" w14:textId="164FE33C" w:rsidR="003F781F" w:rsidRPr="00103B25" w:rsidRDefault="003F781F" w:rsidP="00C77F9F">
      <w:pPr>
        <w:jc w:val="both"/>
      </w:pPr>
      <w:r w:rsidRPr="00103B25">
        <w:t>Povinností poskytovatele je</w:t>
      </w:r>
      <w:r w:rsidR="001817D9">
        <w:t xml:space="preserve"> v </w:t>
      </w:r>
      <w:r w:rsidRPr="00103B25">
        <w:t xml:space="preserve">obecných podmínkách ke všem </w:t>
      </w:r>
      <w:r w:rsidR="00DB4AA1" w:rsidRPr="00796FCE">
        <w:t>veřejným soutěžím</w:t>
      </w:r>
      <w:r w:rsidR="00DB4AA1" w:rsidRPr="00103B25">
        <w:t xml:space="preserve"> </w:t>
      </w:r>
      <w:r w:rsidRPr="00103B25">
        <w:t>daného programu nebo v dokumentaci k dané veřejné soutěži popsat postup a cíl závěrečného hodnocení projektů. Základní parametrem pro nastavení věcného hodnocení je již zaměření veřejné soutěže a kritéria hodnocení projektů, která byla uplatněna při hodnocení žádostí v rámci veřejné soutěže. Nedílnou součástí závěrečného hodnocení je rovněž kontrola čerpání finančních prostředků.</w:t>
      </w:r>
    </w:p>
    <w:p w14:paraId="1D58FD5F" w14:textId="77777777" w:rsidR="003F781F" w:rsidRPr="00E90D78" w:rsidRDefault="003F781F" w:rsidP="00C77F9F">
      <w:pPr>
        <w:jc w:val="both"/>
        <w:rPr>
          <w:u w:val="single"/>
        </w:rPr>
      </w:pPr>
      <w:r w:rsidRPr="00E90D78">
        <w:rPr>
          <w:u w:val="single"/>
        </w:rPr>
        <w:t>Základní doporučení:</w:t>
      </w:r>
    </w:p>
    <w:p w14:paraId="79FCEBDE" w14:textId="77777777" w:rsidR="003F781F" w:rsidRPr="00103B25" w:rsidRDefault="003F781F" w:rsidP="007F5475">
      <w:pPr>
        <w:pStyle w:val="Odstavecseseznamem"/>
        <w:numPr>
          <w:ilvl w:val="0"/>
          <w:numId w:val="13"/>
        </w:numPr>
        <w:jc w:val="both"/>
      </w:pPr>
      <w:r w:rsidRPr="00103B25">
        <w:t xml:space="preserve">Poskytovatel popíše již v obecných podmínkách či v dokumentaci k veřejné soutěži, případně specifikuje ve smlouvě/rozhodnutí o poskytnutí účelové podpory </w:t>
      </w:r>
      <w:r w:rsidRPr="00103B25">
        <w:rPr>
          <w:b/>
        </w:rPr>
        <w:t>postup závěrečného hodnocení a hodnocení dopadů.</w:t>
      </w:r>
      <w:r w:rsidRPr="00103B25">
        <w:t xml:space="preserve"> Tato pravidla by měla být měněna jen v případě objektivně nepředvídatelných změn tak, aby se zamezilo změnám podmínek realizace projektů.</w:t>
      </w:r>
    </w:p>
    <w:p w14:paraId="76F1A9FE" w14:textId="74F0D4E0" w:rsidR="003F781F" w:rsidRPr="00103B25" w:rsidRDefault="003F781F" w:rsidP="007F5475">
      <w:pPr>
        <w:pStyle w:val="Odstavecseseznamem"/>
        <w:numPr>
          <w:ilvl w:val="0"/>
          <w:numId w:val="13"/>
        </w:numPr>
        <w:jc w:val="both"/>
      </w:pPr>
      <w:r w:rsidRPr="00103B25">
        <w:t xml:space="preserve">Závěrečné hodnocení se většinou skládá </w:t>
      </w:r>
      <w:r w:rsidRPr="00103B25">
        <w:rPr>
          <w:b/>
        </w:rPr>
        <w:t>z vyhodnocení plnění cíle/cílů</w:t>
      </w:r>
      <w:r w:rsidRPr="00103B25">
        <w:t xml:space="preserve"> </w:t>
      </w:r>
      <w:r w:rsidRPr="00103B25">
        <w:rPr>
          <w:b/>
        </w:rPr>
        <w:t>a kontroly čerpání finančních prostředků</w:t>
      </w:r>
      <w:r w:rsidR="00B221CF">
        <w:rPr>
          <w:b/>
        </w:rPr>
        <w:t>,</w:t>
      </w:r>
      <w:r w:rsidRPr="00103B25">
        <w:rPr>
          <w:b/>
        </w:rPr>
        <w:t xml:space="preserve"> </w:t>
      </w:r>
      <w:r w:rsidRPr="00103B25">
        <w:t>a to vše v souladu s podmínkami dané veřejné soutěže, se</w:t>
      </w:r>
      <w:r w:rsidR="00804D9A">
        <w:t> </w:t>
      </w:r>
      <w:r w:rsidRPr="00103B25">
        <w:t>smlouvou/rozhodnutím o poskytnutí účelové podpory, příp. v souladu s poskytovatelem schválenými změnami realizace projektu.</w:t>
      </w:r>
    </w:p>
    <w:p w14:paraId="30136957" w14:textId="77777777" w:rsidR="003F781F" w:rsidRPr="00103B25" w:rsidRDefault="003F781F" w:rsidP="007F5475">
      <w:pPr>
        <w:pStyle w:val="Odstavecseseznamem"/>
        <w:numPr>
          <w:ilvl w:val="0"/>
          <w:numId w:val="13"/>
        </w:numPr>
        <w:jc w:val="both"/>
      </w:pPr>
      <w:r w:rsidRPr="00103B25">
        <w:t xml:space="preserve">Poskytovatel zároveň postupuje v souladu s hodnotícími kritérii, která byla stanovena pro příjem žádostí v rámci veřejné soutěže. </w:t>
      </w:r>
    </w:p>
    <w:p w14:paraId="73BCF004" w14:textId="77777777" w:rsidR="003F781F" w:rsidRPr="00103B25" w:rsidRDefault="003F781F" w:rsidP="007F5475">
      <w:pPr>
        <w:pStyle w:val="Odstavecseseznamem"/>
        <w:numPr>
          <w:ilvl w:val="0"/>
          <w:numId w:val="13"/>
        </w:numPr>
        <w:jc w:val="both"/>
      </w:pPr>
      <w:r w:rsidRPr="00103B25">
        <w:t>V případě, že došlo k objektivně nepředvídatelné věcné či finanční změně projektu a ta byla již dříve odsouhlasena jako změna projektu, postupuje poskytovatel při závěrečném hodnocení podle těchto změněných podmínek.</w:t>
      </w:r>
    </w:p>
    <w:p w14:paraId="3250B93F" w14:textId="77777777" w:rsidR="003F781F" w:rsidRDefault="003F781F" w:rsidP="007F5475">
      <w:pPr>
        <w:pStyle w:val="Odstavecseseznamem"/>
        <w:numPr>
          <w:ilvl w:val="0"/>
          <w:numId w:val="13"/>
        </w:numPr>
        <w:jc w:val="both"/>
      </w:pPr>
      <w:r w:rsidRPr="00103B25">
        <w:t>Poskytovatel pro závěrečné hodnocení projektů může využít obdobný systém vyhodnocování, jaký použil při hodnocení projektových žádostí. Pro hodnocení věcné části projektů (tj. splnění cílů projektu) může využívat formu oponentního řízení s tím, že tato hodnocení realizují</w:t>
      </w:r>
      <w:r>
        <w:t xml:space="preserve"> externí hodnotitelé, odborníci v dané oblasti. Případně lze požadovat i zhodnocení přiměřenosti vynaložených finančních prostředků.</w:t>
      </w:r>
    </w:p>
    <w:p w14:paraId="5DDF8006" w14:textId="6B5481F5" w:rsidR="003F781F" w:rsidRDefault="003F781F" w:rsidP="007F5475">
      <w:pPr>
        <w:pStyle w:val="Odstavecseseznamem"/>
        <w:numPr>
          <w:ilvl w:val="0"/>
          <w:numId w:val="13"/>
        </w:numPr>
        <w:jc w:val="both"/>
      </w:pPr>
      <w:r>
        <w:t>Kontrolou finanční části realizace projektů, resp. vyhodnocení uznate</w:t>
      </w:r>
      <w:r w:rsidR="00755352">
        <w:t xml:space="preserve">lnosti nákladů, tj. zdali </w:t>
      </w:r>
      <w:r w:rsidR="00A24A10">
        <w:t xml:space="preserve">byly </w:t>
      </w:r>
      <w:r>
        <w:t>použity v souladu s pravidly poskytování účelové podpory a v souladu s pravidly dané veřejné soutěže, lze pověřit pracovníky poskytovatele účelové podpory věnující se finanční kontrole v rámci poskytování účelové podpory.</w:t>
      </w:r>
    </w:p>
    <w:p w14:paraId="623F53B9" w14:textId="2CCC9059" w:rsidR="003F781F" w:rsidRDefault="003F781F" w:rsidP="007F5475">
      <w:pPr>
        <w:pStyle w:val="Odstavecseseznamem"/>
        <w:numPr>
          <w:ilvl w:val="0"/>
          <w:numId w:val="13"/>
        </w:numPr>
        <w:jc w:val="both"/>
      </w:pPr>
      <w:r>
        <w:t>Závěrečné vyhodnocení na základě podkladů od externích hodnotitelů a z finanční kontroly slouží pro následné celkové vyhodnocení projektů odborným poradním orgánem, který</w:t>
      </w:r>
      <w:r w:rsidR="00804D9A">
        <w:t> </w:t>
      </w:r>
      <w:r>
        <w:t>předkládá souhrnnou zprávu za všechny realizované projekty.</w:t>
      </w:r>
    </w:p>
    <w:p w14:paraId="327BCF7A" w14:textId="750C3E8C" w:rsidR="003F781F" w:rsidRDefault="003F781F" w:rsidP="007F5475">
      <w:pPr>
        <w:pStyle w:val="Odstavecseseznamem"/>
        <w:numPr>
          <w:ilvl w:val="0"/>
          <w:numId w:val="13"/>
        </w:numPr>
        <w:jc w:val="both"/>
      </w:pPr>
      <w:r>
        <w:t>V případě vyhodnocování dopadů projektů poskytovatel stanoví již ve smlouvě/rozhodnutí o</w:t>
      </w:r>
      <w:r w:rsidR="00804D9A">
        <w:t> </w:t>
      </w:r>
      <w:r>
        <w:t>poskytování účelové podpory termíny předkládání průběžných zpráv, je-li to žádoucí s ohledem na délku doby následné realizace projektu, a termín pro závěrečné vyhodnocení dopadu /dopadů realizace projektu. Při vyhodnocování může poskytovatel postupovat obdobně jako při věcném závěrečném hodnocení.</w:t>
      </w:r>
    </w:p>
    <w:p w14:paraId="52D34B0B" w14:textId="4090A276" w:rsidR="003F781F" w:rsidRDefault="003F781F" w:rsidP="007F5475">
      <w:pPr>
        <w:pStyle w:val="Odstavecseseznamem"/>
        <w:numPr>
          <w:ilvl w:val="0"/>
          <w:numId w:val="13"/>
        </w:numPr>
        <w:jc w:val="both"/>
      </w:pPr>
      <w:r>
        <w:t xml:space="preserve">V rámci veřejné zakázky postupuje poskytovatel podle </w:t>
      </w:r>
      <w:r w:rsidR="001C39A2">
        <w:t>z</w:t>
      </w:r>
      <w:r>
        <w:t xml:space="preserve">ákona </w:t>
      </w:r>
      <w:r w:rsidR="00C9161B">
        <w:t xml:space="preserve">č. 134/2016 Sb., </w:t>
      </w:r>
      <w:r>
        <w:t xml:space="preserve">o zadávání </w:t>
      </w:r>
      <w:r w:rsidR="003A32DA">
        <w:t xml:space="preserve">veřejných zakázek </w:t>
      </w:r>
      <w:r>
        <w:t>a podle konkretizace plnění dané veřejné zakázky.</w:t>
      </w:r>
    </w:p>
    <w:p w14:paraId="547631E7" w14:textId="1C718781" w:rsidR="0077493A" w:rsidRDefault="0077493A">
      <w:r>
        <w:br w:type="page"/>
      </w:r>
    </w:p>
    <w:p w14:paraId="4A680F11" w14:textId="77777777" w:rsidR="0077493A" w:rsidRDefault="0077493A" w:rsidP="0077493A">
      <w:pPr>
        <w:jc w:val="both"/>
      </w:pPr>
    </w:p>
    <w:p w14:paraId="6B1CC7D0" w14:textId="77777777" w:rsidR="003E1CEB" w:rsidRDefault="003E1CEB" w:rsidP="003E1CEB">
      <w:pPr>
        <w:pStyle w:val="Odstavecseseznamem"/>
        <w:jc w:val="both"/>
      </w:pPr>
    </w:p>
    <w:tbl>
      <w:tblPr>
        <w:tblStyle w:val="Mkatabulky"/>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3221"/>
        <w:gridCol w:w="5821"/>
      </w:tblGrid>
      <w:tr w:rsidR="00DC0B3F" w14:paraId="631AF886" w14:textId="77777777" w:rsidTr="00DC0B3F">
        <w:tc>
          <w:tcPr>
            <w:tcW w:w="2972" w:type="dxa"/>
          </w:tcPr>
          <w:p w14:paraId="6125243E" w14:textId="77777777" w:rsidR="00F70A60" w:rsidRPr="00F70A60" w:rsidRDefault="00DC0B3F" w:rsidP="007F5475">
            <w:pPr>
              <w:pStyle w:val="Odstavecseseznamem"/>
              <w:numPr>
                <w:ilvl w:val="0"/>
                <w:numId w:val="16"/>
              </w:numPr>
              <w:rPr>
                <w:b/>
                <w:sz w:val="28"/>
                <w:szCs w:val="28"/>
              </w:rPr>
            </w:pPr>
            <w:r w:rsidRPr="002C25DC">
              <w:rPr>
                <w:b/>
                <w:color w:val="FFC000"/>
                <w:sz w:val="28"/>
                <w:szCs w:val="28"/>
              </w:rPr>
              <w:t xml:space="preserve">DOPORUČENÍ </w:t>
            </w:r>
          </w:p>
          <w:p w14:paraId="6A19C3A6" w14:textId="0327B710" w:rsidR="00DC0B3F" w:rsidRPr="002C25DC" w:rsidRDefault="00F70A60" w:rsidP="00F70A60">
            <w:pPr>
              <w:pStyle w:val="Odstavecseseznamem"/>
              <w:jc w:val="right"/>
              <w:rPr>
                <w:b/>
                <w:sz w:val="28"/>
                <w:szCs w:val="28"/>
              </w:rPr>
            </w:pPr>
            <w:r>
              <w:rPr>
                <w:b/>
                <w:color w:val="FFC000"/>
                <w:sz w:val="28"/>
                <w:szCs w:val="28"/>
              </w:rPr>
              <w:t>vzešlá z jednání platformy pro přípravu MP</w:t>
            </w:r>
            <w:r w:rsidRPr="002C25DC">
              <w:rPr>
                <w:b/>
                <w:color w:val="FFC000"/>
                <w:sz w:val="28"/>
                <w:szCs w:val="28"/>
              </w:rPr>
              <w:t xml:space="preserve">           </w:t>
            </w:r>
            <w:r w:rsidR="00DC0B3F" w:rsidRPr="002C25DC">
              <w:rPr>
                <w:b/>
                <w:color w:val="FFC000"/>
                <w:sz w:val="28"/>
                <w:szCs w:val="28"/>
              </w:rPr>
              <w:t xml:space="preserve">     </w:t>
            </w:r>
          </w:p>
        </w:tc>
        <w:tc>
          <w:tcPr>
            <w:tcW w:w="6047" w:type="dxa"/>
          </w:tcPr>
          <w:p w14:paraId="5CD2BBF7" w14:textId="77777777" w:rsidR="00DC0B3F" w:rsidRPr="001A091A" w:rsidRDefault="001A091A" w:rsidP="007F5475">
            <w:pPr>
              <w:pStyle w:val="Odstavecseseznamem"/>
              <w:numPr>
                <w:ilvl w:val="0"/>
                <w:numId w:val="15"/>
              </w:numPr>
            </w:pPr>
            <w:r w:rsidRPr="00C5798B">
              <w:rPr>
                <w:rFonts w:ascii="Calibri" w:hAnsi="Calibri" w:cs="Calibri"/>
              </w:rPr>
              <w:t>Aktualizovat definice výsledků uvedených v samostatné příloze č. 4 Definice druhů výsledků Metodiky hodnocení výzkumných organizací a programů účelové podpory výzkumu, vývoje a inovací.</w:t>
            </w:r>
          </w:p>
          <w:p w14:paraId="5B3EF7BA" w14:textId="77777777" w:rsidR="001A091A" w:rsidRPr="001A091A" w:rsidRDefault="001A091A" w:rsidP="007F5475">
            <w:pPr>
              <w:pStyle w:val="Odstavecseseznamem"/>
              <w:numPr>
                <w:ilvl w:val="0"/>
                <w:numId w:val="15"/>
              </w:numPr>
            </w:pPr>
            <w:r w:rsidRPr="00C5798B">
              <w:rPr>
                <w:rFonts w:ascii="Calibri" w:hAnsi="Calibri" w:cs="Calibri"/>
              </w:rPr>
              <w:t>Průběžné a závěrečné hodnocení projektů provádět podle hodnotících kritérií konkrétní veřejné soutěže.</w:t>
            </w:r>
            <w:r w:rsidRPr="009F631D">
              <w:rPr>
                <w:rFonts w:cstheme="minorHAnsi"/>
                <w:b/>
                <w:highlight w:val="magenta"/>
              </w:rPr>
              <w:t xml:space="preserve"> </w:t>
            </w:r>
            <w:r w:rsidRPr="00F90C35">
              <w:rPr>
                <w:rFonts w:cstheme="minorHAnsi"/>
              </w:rPr>
              <w:t>Stanovit základní podmínky pro změnová řízení</w:t>
            </w:r>
            <w:r>
              <w:rPr>
                <w:rFonts w:cstheme="minorHAnsi"/>
              </w:rPr>
              <w:t>.</w:t>
            </w:r>
          </w:p>
          <w:p w14:paraId="03605C92" w14:textId="35EA19FA" w:rsidR="001A091A" w:rsidRDefault="001A091A" w:rsidP="007F5475">
            <w:pPr>
              <w:pStyle w:val="Odstavecseseznamem"/>
              <w:numPr>
                <w:ilvl w:val="0"/>
                <w:numId w:val="15"/>
              </w:numPr>
            </w:pPr>
            <w:r>
              <w:t xml:space="preserve">Více využívat </w:t>
            </w:r>
            <w:r w:rsidR="007B34B2">
              <w:t xml:space="preserve">IS </w:t>
            </w:r>
            <w:r w:rsidR="00B221AF">
              <w:t xml:space="preserve">FKSV </w:t>
            </w:r>
          </w:p>
          <w:p w14:paraId="13C7EACE" w14:textId="304AAD33" w:rsidR="007B34B2" w:rsidRPr="00672B4D" w:rsidRDefault="007B34B2" w:rsidP="007F5475">
            <w:pPr>
              <w:pStyle w:val="Odstavecseseznamem"/>
              <w:numPr>
                <w:ilvl w:val="0"/>
                <w:numId w:val="15"/>
              </w:numPr>
            </w:pPr>
            <w:r>
              <w:rPr>
                <w:rFonts w:cstheme="minorHAnsi"/>
              </w:rPr>
              <w:t xml:space="preserve">V rámci KMP diskutovat otázky </w:t>
            </w:r>
            <w:r w:rsidRPr="002B48DD">
              <w:rPr>
                <w:rFonts w:cstheme="minorHAnsi"/>
              </w:rPr>
              <w:t>četnost</w:t>
            </w:r>
            <w:r>
              <w:rPr>
                <w:rFonts w:cstheme="minorHAnsi"/>
              </w:rPr>
              <w:t>i</w:t>
            </w:r>
            <w:r w:rsidRPr="002B48DD">
              <w:rPr>
                <w:rFonts w:cstheme="minorHAnsi"/>
              </w:rPr>
              <w:t xml:space="preserve"> kontrol</w:t>
            </w:r>
            <w:r>
              <w:rPr>
                <w:rFonts w:cstheme="minorHAnsi"/>
              </w:rPr>
              <w:t xml:space="preserve">, </w:t>
            </w:r>
            <w:r w:rsidRPr="002B48DD">
              <w:rPr>
                <w:rFonts w:cstheme="minorHAnsi"/>
              </w:rPr>
              <w:t>obsah kontrol</w:t>
            </w:r>
            <w:r>
              <w:rPr>
                <w:rFonts w:cstheme="minorHAnsi"/>
              </w:rPr>
              <w:t xml:space="preserve"> a terminologické sjednocení v oblasti kontrol/monitorování</w:t>
            </w:r>
            <w:r w:rsidR="00001ED8">
              <w:rPr>
                <w:rFonts w:cstheme="minorHAnsi"/>
              </w:rPr>
              <w:t xml:space="preserve">, </w:t>
            </w:r>
            <w:r>
              <w:rPr>
                <w:rFonts w:cstheme="minorHAnsi"/>
              </w:rPr>
              <w:t>veřejnosprávní kontrola apod.</w:t>
            </w:r>
          </w:p>
          <w:p w14:paraId="243BF3B4" w14:textId="77777777" w:rsidR="00672B4D" w:rsidRPr="00B73B8E" w:rsidRDefault="00672B4D" w:rsidP="007F5475">
            <w:pPr>
              <w:pStyle w:val="Odstavecseseznamem"/>
              <w:numPr>
                <w:ilvl w:val="0"/>
                <w:numId w:val="15"/>
              </w:numPr>
            </w:pPr>
            <w:r w:rsidRPr="00C5798B">
              <w:rPr>
                <w:rFonts w:ascii="Calibri" w:hAnsi="Calibri" w:cs="Calibri"/>
              </w:rPr>
              <w:t xml:space="preserve">Zřídit </w:t>
            </w:r>
            <w:proofErr w:type="spellStart"/>
            <w:r w:rsidRPr="00C5798B">
              <w:rPr>
                <w:rFonts w:ascii="Calibri" w:hAnsi="Calibri" w:cs="Calibri"/>
              </w:rPr>
              <w:t>repozitář</w:t>
            </w:r>
            <w:proofErr w:type="spellEnd"/>
            <w:r w:rsidRPr="00C5798B">
              <w:rPr>
                <w:rFonts w:ascii="Calibri" w:hAnsi="Calibri" w:cs="Calibri"/>
              </w:rPr>
              <w:t xml:space="preserve"> evaluačních zpráv, který bude obsahovat zprávy z jednotlivých druhů evaluací programů všech poskytovatelů.</w:t>
            </w:r>
          </w:p>
          <w:p w14:paraId="79739B55" w14:textId="2B0108B3" w:rsidR="00672B4D" w:rsidRDefault="00672B4D" w:rsidP="007F5475">
            <w:pPr>
              <w:pStyle w:val="Odstavecseseznamem"/>
              <w:numPr>
                <w:ilvl w:val="0"/>
                <w:numId w:val="15"/>
              </w:numPr>
            </w:pPr>
            <w:r w:rsidRPr="00C5798B">
              <w:rPr>
                <w:rFonts w:ascii="Calibri" w:hAnsi="Calibri" w:cs="Calibri"/>
              </w:rPr>
              <w:t>Vytvořit návodnou sadu indikátorů, z níž budou poskytovatelé vybírat relevantní indikátory, a která umožní hodnocení výsledků a dopadů na úrovni jednotlivých oblastí a na celkové úrovni.</w:t>
            </w:r>
          </w:p>
        </w:tc>
      </w:tr>
    </w:tbl>
    <w:p w14:paraId="74B92F6E" w14:textId="5AC3919F" w:rsidR="00495C5D" w:rsidRDefault="00495C5D" w:rsidP="008922B0">
      <w:pPr>
        <w:jc w:val="both"/>
      </w:pPr>
    </w:p>
    <w:p w14:paraId="14819645" w14:textId="1516E9A7" w:rsidR="0077493A" w:rsidRDefault="0077493A">
      <w:r>
        <w:br w:type="page"/>
      </w:r>
    </w:p>
    <w:p w14:paraId="2B0E636B" w14:textId="77777777" w:rsidR="000470B1" w:rsidRDefault="000470B1" w:rsidP="008922B0">
      <w:pPr>
        <w:jc w:val="both"/>
      </w:pPr>
    </w:p>
    <w:p w14:paraId="5C7D3B12" w14:textId="2749F732" w:rsidR="006A091A" w:rsidRPr="008922B0" w:rsidRDefault="00E16608" w:rsidP="007F5475">
      <w:pPr>
        <w:pStyle w:val="Nadpis1"/>
        <w:numPr>
          <w:ilvl w:val="0"/>
          <w:numId w:val="19"/>
        </w:numPr>
        <w:rPr>
          <w:sz w:val="22"/>
          <w:szCs w:val="22"/>
        </w:rPr>
      </w:pPr>
      <w:bookmarkStart w:id="60" w:name="_Toc195184955"/>
      <w:r w:rsidRPr="008922B0">
        <w:t>K</w:t>
      </w:r>
      <w:r w:rsidRPr="000470B1">
        <w:rPr>
          <w:szCs w:val="28"/>
        </w:rPr>
        <w:t>om</w:t>
      </w:r>
      <w:r w:rsidRPr="008922B0">
        <w:t xml:space="preserve">unikace a publicita </w:t>
      </w:r>
      <w:r w:rsidR="009A778C" w:rsidRPr="008922B0">
        <w:t>programů, veřejných soutěží a jejich výsledků</w:t>
      </w:r>
      <w:bookmarkEnd w:id="60"/>
    </w:p>
    <w:p w14:paraId="4DBC6F48" w14:textId="6E2354E8" w:rsidR="006A091A" w:rsidRPr="0006353A" w:rsidRDefault="006A091A" w:rsidP="0006353A">
      <w:r>
        <w:t xml:space="preserve">  </w:t>
      </w:r>
    </w:p>
    <w:p w14:paraId="668951E0" w14:textId="60D7C09A" w:rsidR="000A29C7" w:rsidRPr="000D5126" w:rsidRDefault="006A091A" w:rsidP="00C77F9F">
      <w:pPr>
        <w:jc w:val="both"/>
      </w:pPr>
      <w:r>
        <w:t>Nedílnou součástí přípravy a realizace pro</w:t>
      </w:r>
      <w:r w:rsidR="00F87965">
        <w:t>gramů, veřejných výzev a rovněž i</w:t>
      </w:r>
      <w:r>
        <w:t xml:space="preserve"> projektů je příprava jejich odpovídající komunikace a publicity. Doporučení </w:t>
      </w:r>
      <w:r w:rsidR="00F87965">
        <w:t xml:space="preserve">Metodického pokynu k harmonizaci </w:t>
      </w:r>
      <w:r>
        <w:t xml:space="preserve">pro </w:t>
      </w:r>
      <w:r w:rsidR="00F87965">
        <w:t xml:space="preserve">tuto </w:t>
      </w:r>
      <w:r>
        <w:t xml:space="preserve">oblast jsou zaměřena na oblast publicity, propagace programů, </w:t>
      </w:r>
      <w:r w:rsidR="00F87965">
        <w:t xml:space="preserve">veřejných výzev, </w:t>
      </w:r>
      <w:r>
        <w:t xml:space="preserve">projektů. S ohledem na oblast </w:t>
      </w:r>
      <w:r w:rsidR="00F87965">
        <w:t>realizace programů až projektů v rámci</w:t>
      </w:r>
      <w:r w:rsidR="001A2E62" w:rsidRPr="009B6795">
        <w:rPr>
          <w:color w:val="000000" w:themeColor="text1"/>
        </w:rPr>
        <w:t xml:space="preserve"> účelové podpory byly vybrány následující cílové skupiny: ostatní poskytovatelé </w:t>
      </w:r>
      <w:r w:rsidR="001A2E62" w:rsidRPr="009B6795">
        <w:t>účelové podpory a čle</w:t>
      </w:r>
      <w:r w:rsidR="006052DD">
        <w:t xml:space="preserve">nové RVVI, KHV, pracovníci </w:t>
      </w:r>
      <w:r w:rsidR="001A2E62" w:rsidRPr="009B6795">
        <w:t>ÚV</w:t>
      </w:r>
      <w:r w:rsidR="006052DD">
        <w:t>-SVVI</w:t>
      </w:r>
      <w:r w:rsidR="001A2E62" w:rsidRPr="009B6795">
        <w:t>; hodnotitelé projektů, potenciální žadatelé/řešitelé projektů, další odborná veřejnost a laická veřejnost. Specifickou skupinu tvoří sdělovací prostředky informující o oblasti VVI. Ke všem těmto skupinám je nutné přistupovat individuá</w:t>
      </w:r>
      <w:r w:rsidR="00A24A10">
        <w:t xml:space="preserve">lně a volit odpovídající formy </w:t>
      </w:r>
      <w:r w:rsidR="001A2E62" w:rsidRPr="009B6795">
        <w:t xml:space="preserve">a prostředky komunikace. </w:t>
      </w:r>
    </w:p>
    <w:p w14:paraId="6EB8D119" w14:textId="3BBDCD8A" w:rsidR="006A091A" w:rsidRPr="00830799" w:rsidRDefault="00271152" w:rsidP="007F5475">
      <w:pPr>
        <w:pStyle w:val="Nadpis2"/>
        <w:numPr>
          <w:ilvl w:val="1"/>
          <w:numId w:val="19"/>
        </w:numPr>
        <w:ind w:left="718"/>
      </w:pPr>
      <w:bookmarkStart w:id="61" w:name="_Toc195184956"/>
      <w:r>
        <w:t>Komunikace programů účelové podpory</w:t>
      </w:r>
      <w:bookmarkEnd w:id="61"/>
      <w:r w:rsidR="006A091A" w:rsidRPr="00830799">
        <w:t xml:space="preserve"> </w:t>
      </w:r>
    </w:p>
    <w:p w14:paraId="3D16ED1F" w14:textId="56A6B9D9" w:rsidR="001A2E62" w:rsidRDefault="006A091A" w:rsidP="00C77F9F">
      <w:pPr>
        <w:jc w:val="both"/>
      </w:pPr>
      <w:r>
        <w:t>Pro efektivní komunikaci programů účelové podpory je zásadní spolupráce pos</w:t>
      </w:r>
      <w:r w:rsidR="00C377B8">
        <w:t>kytovatelů podpory koordinovaná</w:t>
      </w:r>
      <w:r>
        <w:t xml:space="preserve"> příslušným věcným útvarem ÚV-SVVI, kte</w:t>
      </w:r>
      <w:r w:rsidR="00A24A10">
        <w:t xml:space="preserve">rá zajišťuje fungování společné </w:t>
      </w:r>
      <w:r w:rsidR="00646948">
        <w:t xml:space="preserve">platformy všech </w:t>
      </w:r>
      <w:r>
        <w:t>poskytovatelů účelové podpory a vě</w:t>
      </w:r>
      <w:r w:rsidR="00830799">
        <w:t>cně příslušných resortů, tedy K</w:t>
      </w:r>
      <w:r w:rsidR="00C377B8">
        <w:t xml:space="preserve">omunikačně-metodické platformy. </w:t>
      </w:r>
      <w:r>
        <w:t xml:space="preserve">Jedním z cílů KMP je informovat o programech a jejich veřejných soutěžích nebo veřejných zakázkách v rámci ČR, případně o jejich návaznostech na jiné dotační tituly či zahraniční výzvy. </w:t>
      </w:r>
      <w:r w:rsidR="001A2E62" w:rsidRPr="00072EFB">
        <w:t>Základem spolupráce je včasné předávání informací, sdílení příkladů dobré praxe, eliminace rizik atd.</w:t>
      </w:r>
    </w:p>
    <w:p w14:paraId="4E147F13" w14:textId="222928F6" w:rsidR="00B36F4B" w:rsidRDefault="00B36F4B" w:rsidP="00B36F4B">
      <w:pPr>
        <w:jc w:val="both"/>
      </w:pPr>
      <w:r w:rsidRPr="00582342">
        <w:t xml:space="preserve">Pro snazší orientaci žadatelů v programech účelové podpory </w:t>
      </w:r>
      <w:r w:rsidR="008D0BE1">
        <w:t>VVI</w:t>
      </w:r>
      <w:r w:rsidRPr="00582342">
        <w:t xml:space="preserve"> a aktuálních a připravovaných veřejných soutěží je nutné vytvořit </w:t>
      </w:r>
      <w:r w:rsidRPr="00E963DB">
        <w:rPr>
          <w:b/>
        </w:rPr>
        <w:t>společnou webovou prezentaci programů a veřejných soutěží</w:t>
      </w:r>
      <w:r w:rsidRPr="00582342">
        <w:t xml:space="preserve">. Cílem je vytvoření </w:t>
      </w:r>
      <w:r>
        <w:t xml:space="preserve">a provozování </w:t>
      </w:r>
      <w:r w:rsidRPr="00582342">
        <w:t xml:space="preserve">jednoho informačního místa a tím zajištění pro poskytovatele </w:t>
      </w:r>
      <w:r>
        <w:t xml:space="preserve">i pro </w:t>
      </w:r>
      <w:r w:rsidRPr="00582342">
        <w:t xml:space="preserve">příjemce předvídatelnosti především v oblasti veřejných soutěží financovaných z účelové podpory. </w:t>
      </w:r>
    </w:p>
    <w:p w14:paraId="035BCFFA" w14:textId="77777777" w:rsidR="00B36F4B" w:rsidRDefault="00B36F4B" w:rsidP="00B36F4B">
      <w:pPr>
        <w:jc w:val="both"/>
      </w:pPr>
      <w:r w:rsidRPr="00582342">
        <w:t xml:space="preserve">Webová prezentace by měla umožnit interaktivní vyhledávání programů a veřejných soutěží a rovněž by měla obsahovat informace o připravovaných programech a harmonogram vyhlašování veřejných soutěží. </w:t>
      </w:r>
    </w:p>
    <w:p w14:paraId="74466CA7" w14:textId="339BF987" w:rsidR="00B36F4B" w:rsidRPr="00582342" w:rsidRDefault="00B36F4B" w:rsidP="00B36F4B">
      <w:pPr>
        <w:jc w:val="both"/>
      </w:pPr>
      <w:r w:rsidRPr="00582342">
        <w:t>Tato webová prezentace musí být centrálně zastřešena přís</w:t>
      </w:r>
      <w:r>
        <w:t>lušným útvarem ÚV – SVVI. Bude využívána i HMJ pro lepší dostupnost metodické podpory poskytovatelům.</w:t>
      </w:r>
      <w:r w:rsidRPr="00377F51">
        <w:t xml:space="preserve"> Pro zajištění aktuálnosti informací </w:t>
      </w:r>
      <w:r>
        <w:t>je</w:t>
      </w:r>
      <w:r w:rsidR="00804D9A">
        <w:t> </w:t>
      </w:r>
      <w:r>
        <w:t xml:space="preserve">však </w:t>
      </w:r>
      <w:r w:rsidRPr="00377F51">
        <w:t>nezbytná součinnost všech poskytovatelů</w:t>
      </w:r>
    </w:p>
    <w:p w14:paraId="55349F22" w14:textId="537EE8E0" w:rsidR="00B36F4B" w:rsidRDefault="00B36F4B" w:rsidP="00C77F9F">
      <w:pPr>
        <w:jc w:val="both"/>
        <w:rPr>
          <w:b/>
        </w:rPr>
      </w:pPr>
      <w:r>
        <w:t>Pro v</w:t>
      </w:r>
      <w:r w:rsidRPr="00582342">
        <w:t xml:space="preserve">ytvoření a provozování </w:t>
      </w:r>
      <w:r w:rsidRPr="007A6346">
        <w:t>společné webové prezentace programů a veřejných soutěží</w:t>
      </w:r>
      <w:r>
        <w:rPr>
          <w:b/>
        </w:rPr>
        <w:t xml:space="preserve"> lze</w:t>
      </w:r>
      <w:r w:rsidR="00804D9A">
        <w:rPr>
          <w:b/>
        </w:rPr>
        <w:t> </w:t>
      </w:r>
      <w:r>
        <w:rPr>
          <w:b/>
        </w:rPr>
        <w:t>eventuálně využít i stávajíc</w:t>
      </w:r>
      <w:r w:rsidR="006E3DBC">
        <w:rPr>
          <w:b/>
        </w:rPr>
        <w:t>í webové stránky poskytovatelů.</w:t>
      </w:r>
    </w:p>
    <w:p w14:paraId="33938392" w14:textId="06275909" w:rsidR="000A29C7" w:rsidRPr="000A29C7" w:rsidRDefault="00935DEE" w:rsidP="007F5475">
      <w:pPr>
        <w:pStyle w:val="Nadpis3"/>
        <w:numPr>
          <w:ilvl w:val="2"/>
          <w:numId w:val="19"/>
        </w:numPr>
      </w:pPr>
      <w:bookmarkStart w:id="62" w:name="_Toc195063184"/>
      <w:bookmarkStart w:id="63" w:name="_Toc195087082"/>
      <w:bookmarkStart w:id="64" w:name="_Toc195184957"/>
      <w:r>
        <w:t xml:space="preserve">Komunikace </w:t>
      </w:r>
      <w:r w:rsidR="00E16608">
        <w:t>poskytovatelů ve vztah</w:t>
      </w:r>
      <w:r w:rsidR="000A29C7">
        <w:t>u k odborné a laické veřejnosti</w:t>
      </w:r>
      <w:bookmarkEnd w:id="62"/>
      <w:bookmarkEnd w:id="63"/>
      <w:bookmarkEnd w:id="64"/>
      <w:r w:rsidR="00E16608">
        <w:t xml:space="preserve">  </w:t>
      </w:r>
    </w:p>
    <w:p w14:paraId="3D2B528E" w14:textId="07B55EAA" w:rsidR="002F31C3" w:rsidRDefault="000A29C7" w:rsidP="00C77F9F">
      <w:pPr>
        <w:jc w:val="both"/>
      </w:pPr>
      <w:r w:rsidRPr="000D5126">
        <w:t xml:space="preserve">Cílem </w:t>
      </w:r>
      <w:r w:rsidR="00C377B8">
        <w:t xml:space="preserve">komunikačních aktivit musí být </w:t>
      </w:r>
      <w:r w:rsidRPr="000D5126">
        <w:t xml:space="preserve">informování zejména odborné veřejnosti o navrhovaných programech a následně veřejných soutěžích. </w:t>
      </w:r>
      <w:r w:rsidR="00E01D8E">
        <w:t>Příjemci podpory</w:t>
      </w:r>
      <w:r w:rsidR="006A091A">
        <w:t xml:space="preserve">, ale i poskytovatelé posléze komunikují s </w:t>
      </w:r>
      <w:r w:rsidRPr="000D5126">
        <w:t xml:space="preserve">odbornou, ale i laickou veřejností o výstupech, výsledcích a dopadech řešených projektů. Za tímto účelem využívají </w:t>
      </w:r>
      <w:r>
        <w:t>odpovídající komunikační formy</w:t>
      </w:r>
      <w:r w:rsidRPr="000D5126">
        <w:t xml:space="preserve"> a prostředky.</w:t>
      </w:r>
    </w:p>
    <w:p w14:paraId="420AD53F" w14:textId="1CDFFB72" w:rsidR="00D22B33" w:rsidRPr="005872E8" w:rsidRDefault="00E16608" w:rsidP="007F5475">
      <w:pPr>
        <w:pStyle w:val="Nadpis3"/>
        <w:numPr>
          <w:ilvl w:val="2"/>
          <w:numId w:val="19"/>
        </w:numPr>
      </w:pPr>
      <w:bookmarkStart w:id="65" w:name="_Toc195063185"/>
      <w:bookmarkStart w:id="66" w:name="_Toc195087083"/>
      <w:bookmarkStart w:id="67" w:name="_Toc195184958"/>
      <w:r>
        <w:t>Komunikace mezi poskytovateli</w:t>
      </w:r>
      <w:bookmarkEnd w:id="65"/>
      <w:bookmarkEnd w:id="66"/>
      <w:bookmarkEnd w:id="67"/>
    </w:p>
    <w:p w14:paraId="29872EAB" w14:textId="6D27A528" w:rsidR="00755352" w:rsidRDefault="00845310" w:rsidP="00830799">
      <w:pPr>
        <w:jc w:val="both"/>
      </w:pPr>
      <w:r>
        <w:t>U</w:t>
      </w:r>
      <w:r w:rsidRPr="000D5126">
        <w:t xml:space="preserve">váděná </w:t>
      </w:r>
      <w:r>
        <w:t xml:space="preserve">doporučení </w:t>
      </w:r>
      <w:r w:rsidRPr="000D5126">
        <w:t>se týkají informování ostatních č</w:t>
      </w:r>
      <w:r>
        <w:t xml:space="preserve">lenů </w:t>
      </w:r>
      <w:r w:rsidR="002E4E2E">
        <w:t>KMP pod gescí věcně příslušného útvaru ÚV-SVVI,</w:t>
      </w:r>
      <w:r w:rsidRPr="000D5126">
        <w:t xml:space="preserve"> prezentování nových programů, technických řešení výzev, výměny názorů na realizaci programů, projektů, prezentování výstupů, výsledků, dopadů programů/projektů. Zároveň se předpokládá, že bude vhodné informovat zejména odbornou veřejnost, resp. potenciální žadatele/příjemce.</w:t>
      </w:r>
    </w:p>
    <w:p w14:paraId="6812DDD9" w14:textId="77777777" w:rsidR="00221BE4" w:rsidRDefault="00221BE4" w:rsidP="00830799">
      <w:pPr>
        <w:jc w:val="both"/>
      </w:pPr>
    </w:p>
    <w:p w14:paraId="49D1C015" w14:textId="17614D7E" w:rsidR="006A091A" w:rsidRPr="006E3DBC" w:rsidRDefault="00845310" w:rsidP="00830799">
      <w:pPr>
        <w:jc w:val="both"/>
        <w:rPr>
          <w:u w:val="single"/>
        </w:rPr>
      </w:pPr>
      <w:r w:rsidRPr="006E3DBC">
        <w:rPr>
          <w:u w:val="single"/>
        </w:rPr>
        <w:t>Základní doporučení</w:t>
      </w:r>
      <w:r w:rsidR="006A091A" w:rsidRPr="006E3DBC">
        <w:rPr>
          <w:u w:val="single"/>
        </w:rPr>
        <w:t>:</w:t>
      </w:r>
    </w:p>
    <w:p w14:paraId="538C07BE" w14:textId="78CCA626" w:rsidR="00E2089C" w:rsidRPr="00915C00" w:rsidRDefault="00E2089C" w:rsidP="007F5475">
      <w:pPr>
        <w:pStyle w:val="Odstavecseseznamem"/>
        <w:numPr>
          <w:ilvl w:val="0"/>
          <w:numId w:val="14"/>
        </w:numPr>
        <w:jc w:val="both"/>
      </w:pPr>
      <w:r w:rsidRPr="00915C00">
        <w:t>Využívání KMP při ÚV-SVVI  a příslušných webových stránek  pro předávání informací o</w:t>
      </w:r>
      <w:r w:rsidR="00804D9A">
        <w:t> </w:t>
      </w:r>
      <w:r w:rsidRPr="00915C00">
        <w:t>poskytování účelové podpory; příprava projektové žádosti je časově a odborně náročnou aktivitou vyžadující efektivní plánování využití personálních a finančních zdrojů, a to zvláště u</w:t>
      </w:r>
      <w:r w:rsidR="00804D9A">
        <w:t> </w:t>
      </w:r>
      <w:r w:rsidRPr="00915C00">
        <w:t>větších výzkumných organizací současně připravujících a řešících více projektů, a proto je ze strany všech poskytovatelů dotací pod vedením věcně příslušného útvaru ÚV-SVVI nutné zajistit, aby nejen jednotliví poskytovatelé pro daný kalendářní rok zveřejňovali harmonogram veřejných soutěží, ale aby byl vytvořen společný harmonogram vyhlašování veřejných soutěží všech poskytovatelů. Tento harmonogram by mohl být zveřejněn na internetových stránkách informujících o možnostech účelové podpory VVI v ČR.</w:t>
      </w:r>
    </w:p>
    <w:p w14:paraId="5FC8154F" w14:textId="463FB924" w:rsidR="006A091A" w:rsidRPr="00A24A10" w:rsidRDefault="006A091A" w:rsidP="007F5475">
      <w:pPr>
        <w:pStyle w:val="Odstavecseseznamem"/>
        <w:numPr>
          <w:ilvl w:val="0"/>
          <w:numId w:val="14"/>
        </w:numPr>
        <w:jc w:val="both"/>
        <w:rPr>
          <w:bCs/>
        </w:rPr>
      </w:pPr>
      <w:r>
        <w:t>Prezentace navrhovaného programu a veřejných</w:t>
      </w:r>
      <w:r w:rsidR="00C377B8">
        <w:t xml:space="preserve"> soutěží</w:t>
      </w:r>
      <w:r w:rsidR="00646948">
        <w:t xml:space="preserve"> </w:t>
      </w:r>
      <w:r>
        <w:t>nebo</w:t>
      </w:r>
      <w:r w:rsidR="00646948">
        <w:t xml:space="preserve"> veřejných zakázek</w:t>
      </w:r>
      <w:r>
        <w:t>, včetně navrhovaného harmonogramu VS a VZ</w:t>
      </w:r>
      <w:r w:rsidR="00646948">
        <w:t xml:space="preserve">, </w:t>
      </w:r>
      <w:r>
        <w:t xml:space="preserve">ostatním poskytovatelům účelové podpory pod gescí ÚV-SVVI na společné KMP za účelem informování o využívání finančních prostředků účelové podpory, koordinace komunikačních aktivit v oblasti poskytování účelové podpory, včetně komunikace se sdělovacími prostředky. </w:t>
      </w:r>
    </w:p>
    <w:p w14:paraId="34D88109" w14:textId="545EA968" w:rsidR="006A091A" w:rsidRDefault="00845310" w:rsidP="007F5475">
      <w:pPr>
        <w:pStyle w:val="Odstavecseseznamem"/>
        <w:numPr>
          <w:ilvl w:val="0"/>
          <w:numId w:val="14"/>
        </w:numPr>
      </w:pPr>
      <w:r w:rsidRPr="00646948">
        <w:rPr>
          <w:bCs/>
        </w:rPr>
        <w:t xml:space="preserve">Zveřejnění informací po schválení programu na veřejné části webových stránek </w:t>
      </w:r>
      <w:r w:rsidR="002E4E2E" w:rsidRPr="00646948">
        <w:rPr>
          <w:bCs/>
        </w:rPr>
        <w:t xml:space="preserve">KMP, </w:t>
      </w:r>
      <w:r w:rsidRPr="00BA1C51">
        <w:t xml:space="preserve">např. </w:t>
      </w:r>
      <w:r w:rsidR="006A091A">
        <w:t>základních informací k programu-poskytovatel, název</w:t>
      </w:r>
      <w:r w:rsidR="00646948">
        <w:t xml:space="preserve"> programu, název a zaměření </w:t>
      </w:r>
      <w:r w:rsidR="00385E83">
        <w:t>veřejné soutěže</w:t>
      </w:r>
      <w:r w:rsidR="006A091A">
        <w:t>, harmonogram, celková alo</w:t>
      </w:r>
      <w:r w:rsidR="00646948">
        <w:t>kace, cílová skupina žadatelů.</w:t>
      </w:r>
    </w:p>
    <w:p w14:paraId="7EEB40B5" w14:textId="34679486" w:rsidR="00E16608" w:rsidRPr="00796FCE" w:rsidRDefault="00E16608" w:rsidP="007F5475">
      <w:pPr>
        <w:pStyle w:val="Nadpis3"/>
        <w:numPr>
          <w:ilvl w:val="2"/>
          <w:numId w:val="19"/>
        </w:numPr>
      </w:pPr>
      <w:bookmarkStart w:id="68" w:name="_Toc195063186"/>
      <w:bookmarkStart w:id="69" w:name="_Toc195087084"/>
      <w:bookmarkStart w:id="70" w:name="_Toc195184959"/>
      <w:r>
        <w:t>Komunikace poskytovatel</w:t>
      </w:r>
      <w:r w:rsidR="00271152">
        <w:t>ů</w:t>
      </w:r>
      <w:r>
        <w:t xml:space="preserve"> </w:t>
      </w:r>
      <w:r w:rsidR="00271152">
        <w:t>směrem k</w:t>
      </w:r>
      <w:r>
        <w:t xml:space="preserve"> </w:t>
      </w:r>
      <w:r w:rsidRPr="00C0116F">
        <w:t xml:space="preserve">potenciálním </w:t>
      </w:r>
      <w:r w:rsidR="00045BAF" w:rsidRPr="00796FCE">
        <w:t>uchazečům</w:t>
      </w:r>
      <w:bookmarkEnd w:id="68"/>
      <w:bookmarkEnd w:id="69"/>
      <w:bookmarkEnd w:id="70"/>
    </w:p>
    <w:p w14:paraId="5F63298E" w14:textId="31A0AD94" w:rsidR="001526F4" w:rsidRDefault="006A091A" w:rsidP="00C77F9F">
      <w:pPr>
        <w:jc w:val="both"/>
      </w:pPr>
      <w:r>
        <w:t xml:space="preserve">Pro úspěšnou realizaci programů a projektů realizovaných v </w:t>
      </w:r>
      <w:r w:rsidR="00D9373E" w:rsidRPr="001E4B70">
        <w:t>rámci těchto programů je zásadní komunikace</w:t>
      </w:r>
      <w:r w:rsidR="00001316">
        <w:t xml:space="preserve"> </w:t>
      </w:r>
      <w:r w:rsidR="00D9373E">
        <w:t>poskytovatel</w:t>
      </w:r>
      <w:r w:rsidR="00001316">
        <w:t>ů</w:t>
      </w:r>
      <w:r w:rsidR="00D9373E">
        <w:t xml:space="preserve"> účelové podpory</w:t>
      </w:r>
      <w:r w:rsidR="00D9373E" w:rsidRPr="001E4B70">
        <w:t xml:space="preserve"> </w:t>
      </w:r>
      <w:r w:rsidR="00001316">
        <w:t>s</w:t>
      </w:r>
      <w:r w:rsidR="00D9373E" w:rsidRPr="001E4B70">
        <w:t xml:space="preserve"> potenciálními </w:t>
      </w:r>
      <w:r w:rsidR="006432AC" w:rsidRPr="00796FCE">
        <w:t>uchazeči</w:t>
      </w:r>
      <w:r w:rsidR="00D9373E" w:rsidRPr="00C0116F">
        <w:t>. Mezi</w:t>
      </w:r>
      <w:r w:rsidR="00D9373E" w:rsidRPr="001E4B70">
        <w:t xml:space="preserve"> základní pravidla pro úspěšnou realizaci projektů, a tím naplňování cílů programů, náleží včasné a zodpovědné informování potenciálních </w:t>
      </w:r>
      <w:r w:rsidR="00B82A15" w:rsidRPr="00796FCE">
        <w:t>uchazečů</w:t>
      </w:r>
      <w:r w:rsidR="00B82A15" w:rsidRPr="00C0116F">
        <w:t xml:space="preserve"> </w:t>
      </w:r>
      <w:r w:rsidR="00D670B7" w:rsidRPr="00C0116F">
        <w:t>o připravovaných</w:t>
      </w:r>
      <w:r w:rsidR="00D670B7">
        <w:t xml:space="preserve"> veřejných soutěžích a o podmínkách podávání </w:t>
      </w:r>
      <w:r w:rsidR="0012149A" w:rsidRPr="00796FCE">
        <w:t>projektových</w:t>
      </w:r>
      <w:r w:rsidR="0012149A" w:rsidRPr="00C0116F">
        <w:t xml:space="preserve"> </w:t>
      </w:r>
      <w:r w:rsidR="00D670B7" w:rsidRPr="00C0116F">
        <w:t>žádostí</w:t>
      </w:r>
      <w:r w:rsidR="00D9373E" w:rsidRPr="00C0116F">
        <w:t>. Záleží na poskytovateli, jakou formu informování zvolí, avšak jako optimální se jeví kombinace</w:t>
      </w:r>
      <w:r w:rsidR="00D9373E" w:rsidRPr="001E4B70">
        <w:t xml:space="preserve"> nepřímé komunikace (např. elektronické materiály, možnost řešení problematických záležitostí prostředn</w:t>
      </w:r>
      <w:r w:rsidR="00BF69F5">
        <w:t xml:space="preserve">ictvím FAQ) a přímé komunikace, </w:t>
      </w:r>
      <w:r w:rsidR="00D9373E" w:rsidRPr="001E4B70">
        <w:t>např. s</w:t>
      </w:r>
      <w:r w:rsidR="00BF69F5">
        <w:t>emináře, individuální konzultace</w:t>
      </w:r>
      <w:r w:rsidR="00D9373E" w:rsidRPr="001E4B70">
        <w:t xml:space="preserve">. </w:t>
      </w:r>
    </w:p>
    <w:p w14:paraId="221E5877" w14:textId="0853DDC8" w:rsidR="00D9373E" w:rsidRPr="001E4B70" w:rsidRDefault="00D9373E" w:rsidP="00C77F9F">
      <w:pPr>
        <w:jc w:val="both"/>
      </w:pPr>
      <w:r w:rsidRPr="001E4B70">
        <w:t xml:space="preserve"> </w:t>
      </w:r>
      <w:r w:rsidR="006A091A">
        <w:t xml:space="preserve">Vzhledem k tomu, že se jedná o realizaci projektů z </w:t>
      </w:r>
      <w:r w:rsidRPr="001E4B70">
        <w:t>veřejných prostředků, podléhají tyto pravidlům pro publicitu, zejména uvádění informací o zdroji financování projektů</w:t>
      </w:r>
      <w:r>
        <w:t>, pravidlům pro vizuální identitu atd.</w:t>
      </w:r>
      <w:r w:rsidR="00B67E60">
        <w:t xml:space="preserve"> </w:t>
      </w:r>
    </w:p>
    <w:p w14:paraId="013498B0" w14:textId="77777777" w:rsidR="00D9373E" w:rsidRPr="006E3DBC" w:rsidRDefault="00D9373E" w:rsidP="00646948">
      <w:pPr>
        <w:jc w:val="both"/>
        <w:rPr>
          <w:u w:val="single"/>
        </w:rPr>
      </w:pPr>
      <w:r w:rsidRPr="006E3DBC">
        <w:rPr>
          <w:u w:val="single"/>
        </w:rPr>
        <w:t>Základní doporučení:</w:t>
      </w:r>
    </w:p>
    <w:p w14:paraId="2D9F721F" w14:textId="689F530B" w:rsidR="006A091A" w:rsidRDefault="006A091A" w:rsidP="007F5475">
      <w:pPr>
        <w:pStyle w:val="Odstavecseseznamem"/>
        <w:numPr>
          <w:ilvl w:val="0"/>
          <w:numId w:val="14"/>
        </w:numPr>
        <w:jc w:val="both"/>
      </w:pPr>
      <w:r>
        <w:t>vytvoření a zveřejnění základních pravidel pro oblast komunikace a publicity programů a</w:t>
      </w:r>
      <w:r w:rsidR="00804D9A">
        <w:t> </w:t>
      </w:r>
      <w:r>
        <w:t xml:space="preserve">projektů financovaných z účelové podpory na úrovni poskytovatele; </w:t>
      </w:r>
    </w:p>
    <w:p w14:paraId="58E9D6AB" w14:textId="4C420808" w:rsidR="006A091A" w:rsidRDefault="00D9373E" w:rsidP="007F5475">
      <w:pPr>
        <w:pStyle w:val="Odstavecseseznamem"/>
        <w:numPr>
          <w:ilvl w:val="0"/>
          <w:numId w:val="14"/>
        </w:numPr>
        <w:jc w:val="both"/>
      </w:pPr>
      <w:r w:rsidRPr="0077493A">
        <w:t xml:space="preserve">zřízení vlastní webové prezentace daného poskytovatele, která bude obsahovat podrobnější informace s ohledem na specifika žadatelů/příjemců každého VS, VZ programu účelové podpory, ale např. </w:t>
      </w:r>
      <w:r w:rsidR="006A091A">
        <w:t>i FAQ; v případě VZ je nutné se řídit podmínkami danými Zákonem č. 134/2016 Sb. o zadávání veřejných zakázek;</w:t>
      </w:r>
    </w:p>
    <w:p w14:paraId="1DDD3BEF" w14:textId="1A92EEAB" w:rsidR="006A091A" w:rsidRDefault="006A091A" w:rsidP="007F5475">
      <w:pPr>
        <w:pStyle w:val="Odstavecseseznamem"/>
        <w:numPr>
          <w:ilvl w:val="0"/>
          <w:numId w:val="14"/>
        </w:numPr>
        <w:jc w:val="both"/>
      </w:pPr>
      <w:r>
        <w:t>komunikace poskytovatelů zamýšleného programu</w:t>
      </w:r>
      <w:r w:rsidRPr="00C0116F">
        <w:t>/</w:t>
      </w:r>
      <w:r w:rsidR="0089217A" w:rsidRPr="00796FCE">
        <w:t>veřejných soutěží</w:t>
      </w:r>
      <w:r w:rsidR="0089217A">
        <w:t xml:space="preserve"> </w:t>
      </w:r>
      <w:r>
        <w:t xml:space="preserve">se zástupci potenciálních </w:t>
      </w:r>
      <w:r w:rsidR="00D43903" w:rsidRPr="00796FCE">
        <w:t>uchazečů</w:t>
      </w:r>
      <w:r w:rsidRPr="00796FCE">
        <w:t>/</w:t>
      </w:r>
      <w:r w:rsidR="00E01D8E">
        <w:t xml:space="preserve">příjemců podpory </w:t>
      </w:r>
      <w:r>
        <w:t>– zveřejnění základních informací o daném programu/</w:t>
      </w:r>
      <w:r w:rsidR="00D43903" w:rsidRPr="00796FCE">
        <w:t>veřejných soutěžích</w:t>
      </w:r>
      <w:r w:rsidR="00D43903">
        <w:t xml:space="preserve"> </w:t>
      </w:r>
      <w:r>
        <w:t>účelové podpory, informace o seminářích, o možnostech konzultací;</w:t>
      </w:r>
    </w:p>
    <w:p w14:paraId="4B51032F" w14:textId="12F03330" w:rsidR="006A091A" w:rsidRDefault="006A091A" w:rsidP="007F5475">
      <w:pPr>
        <w:pStyle w:val="Odstavecseseznamem"/>
        <w:numPr>
          <w:ilvl w:val="0"/>
          <w:numId w:val="14"/>
        </w:numPr>
        <w:jc w:val="both"/>
      </w:pPr>
      <w:r>
        <w:t>zveřejnění základních informací o VS, VZ po schválení daného programu – cíle konkrétní VS; cílové skupiny žadatelů; harmonogram jednotlivých etap hodnocení, uzavírání smluv, realizace a</w:t>
      </w:r>
      <w:r w:rsidR="00804D9A">
        <w:t> </w:t>
      </w:r>
      <w:r>
        <w:t>udržitelnost aktivit projektu; finanční limity atd.;</w:t>
      </w:r>
      <w:r w:rsidR="00830799">
        <w:t xml:space="preserve"> přiměřeně se využije i pro VZ;</w:t>
      </w:r>
    </w:p>
    <w:p w14:paraId="7DF40739" w14:textId="25670E5B" w:rsidR="006A091A" w:rsidRDefault="006A091A" w:rsidP="007F5475">
      <w:pPr>
        <w:pStyle w:val="Odstavecseseznamem"/>
        <w:numPr>
          <w:ilvl w:val="0"/>
          <w:numId w:val="14"/>
        </w:numPr>
        <w:jc w:val="both"/>
      </w:pPr>
      <w:r>
        <w:lastRenderedPageBreak/>
        <w:t xml:space="preserve">zveřejnění informací o veřejných soutěžích v době jejich vyhlášení – zveřejnění způsobů výběru a kritérií výběru projektů; způsobu uzavírání smlouvy mezi poskytovatelem a řešitelem a jejího rámcového obsahu; základních podmínek realizace projektů, včetně podmínek změnových řízení; způsobu vykazování realizační fáze projektu včetně finančního vykazování; vykazování výstupů, výsledků, dopadů; nastavení systému kontrol a evaluací; způsob ukončování projektů, případně, je-li to relevantní, vykazování projektu během doby udržitelnosti; přiměřeně se použije i u veřejných zakázek a to v souladu se </w:t>
      </w:r>
      <w:r w:rsidR="00D61A8E">
        <w:t>z</w:t>
      </w:r>
      <w:r>
        <w:t>ákonem č. 134/2016 Sb. o zadávání veřejných zakázek; FAQ atd.</w:t>
      </w:r>
    </w:p>
    <w:p w14:paraId="368B887E" w14:textId="77777777" w:rsidR="006E3DBC" w:rsidRDefault="006E3DBC" w:rsidP="00646948">
      <w:pPr>
        <w:jc w:val="both"/>
      </w:pPr>
    </w:p>
    <w:p w14:paraId="6C7F8F2A" w14:textId="45CBA96C" w:rsidR="006A091A" w:rsidRPr="00830799" w:rsidRDefault="006A091A" w:rsidP="007F5475">
      <w:pPr>
        <w:pStyle w:val="Nadpis2"/>
        <w:numPr>
          <w:ilvl w:val="1"/>
          <w:numId w:val="19"/>
        </w:numPr>
        <w:ind w:left="718"/>
      </w:pPr>
      <w:bookmarkStart w:id="71" w:name="_Toc195184960"/>
      <w:r w:rsidRPr="00830799">
        <w:t>Komunikace poskytovatelů a řešitelů směrem k veřejnosti</w:t>
      </w:r>
      <w:bookmarkEnd w:id="71"/>
    </w:p>
    <w:p w14:paraId="59D2480A" w14:textId="71B154C7" w:rsidR="00D9373E" w:rsidRPr="001E4B70" w:rsidRDefault="006A091A" w:rsidP="00C77F9F">
      <w:pPr>
        <w:jc w:val="both"/>
      </w:pPr>
      <w:r>
        <w:t xml:space="preserve">Jednou ze základních povinností poskytovatelů a </w:t>
      </w:r>
      <w:r w:rsidR="00E01D8E">
        <w:t xml:space="preserve">příjemců podpory </w:t>
      </w:r>
      <w:r>
        <w:t>je sdílet informace o výsledcích a</w:t>
      </w:r>
      <w:r w:rsidR="00804D9A">
        <w:t> </w:t>
      </w:r>
      <w:r>
        <w:t>dopadech konkrétních činností v oblasti VVI. Směrem k odborné veřejnosti se může jednat např.</w:t>
      </w:r>
      <w:r w:rsidR="00804D9A">
        <w:t> </w:t>
      </w:r>
      <w:r>
        <w:t>o</w:t>
      </w:r>
      <w:r w:rsidR="00804D9A">
        <w:t> </w:t>
      </w:r>
      <w:r>
        <w:t xml:space="preserve">otevření možnosti další spolupráce s institucemi z oblasti VVI doma i v zahraničí, ale i o spolupráci s podnikatelskou sférou. Nedílnou součástí jsou rovněž popularizační aktivity přibližující laické veřejnosti práci vědců a výsledky jejich aktivit realizovaných v rámci projektů, programů financovaných z účelové podpory. Zejména v </w:t>
      </w:r>
      <w:r w:rsidR="00D9373E" w:rsidRPr="001E4B70">
        <w:t>této souvislosti je podstatná komunikace se sdělovacími prostředky jako prostředníky mezi vědeckými týmy a širokou veřejností.</w:t>
      </w:r>
    </w:p>
    <w:p w14:paraId="732298FF" w14:textId="77777777" w:rsidR="00FA5647" w:rsidRPr="006E3DBC" w:rsidRDefault="00FA5647" w:rsidP="00C77F9F">
      <w:pPr>
        <w:jc w:val="both"/>
        <w:rPr>
          <w:u w:val="single"/>
        </w:rPr>
      </w:pPr>
      <w:r w:rsidRPr="006E3DBC">
        <w:rPr>
          <w:u w:val="single"/>
        </w:rPr>
        <w:t>Základní doporučení:</w:t>
      </w:r>
    </w:p>
    <w:p w14:paraId="7FE5CBC9" w14:textId="09A64335" w:rsidR="006A091A" w:rsidRDefault="006A091A" w:rsidP="007F5475">
      <w:pPr>
        <w:pStyle w:val="Odstavecseseznamem"/>
        <w:numPr>
          <w:ilvl w:val="0"/>
          <w:numId w:val="14"/>
        </w:numPr>
        <w:jc w:val="both"/>
      </w:pPr>
      <w:r>
        <w:t>stanovení pravidel komunikace s odbornou, laickou veřejností, sdělovacími prostředky;</w:t>
      </w:r>
    </w:p>
    <w:p w14:paraId="2DC7D0A9" w14:textId="53E4F0E1" w:rsidR="006A091A" w:rsidRDefault="006A091A" w:rsidP="007F5475">
      <w:pPr>
        <w:pStyle w:val="Odstavecseseznamem"/>
        <w:numPr>
          <w:ilvl w:val="0"/>
          <w:numId w:val="14"/>
        </w:numPr>
        <w:jc w:val="both"/>
      </w:pPr>
      <w:r>
        <w:t>výběr vhodných forem a prostředků komunikace s ohledem na cílovou skupinu;</w:t>
      </w:r>
    </w:p>
    <w:p w14:paraId="659CB9EF" w14:textId="582DE051" w:rsidR="006A091A" w:rsidRDefault="006A091A" w:rsidP="007F5475">
      <w:pPr>
        <w:pStyle w:val="Odstavecseseznamem"/>
        <w:numPr>
          <w:ilvl w:val="0"/>
          <w:numId w:val="14"/>
        </w:numPr>
        <w:jc w:val="both"/>
      </w:pPr>
      <w:r>
        <w:t>zveřejňování výsledků, výstupů a dopadů programů a realizovaných projektů nebo veřejných zakázek směrem k odborné veřejnosti a k široké veřejnosti na webových stránkách poskytovatele a příjemce účelové podpory, využívání dalších komunikačních možností za uvedeným účelem;</w:t>
      </w:r>
    </w:p>
    <w:p w14:paraId="001B74F1" w14:textId="09EC1743" w:rsidR="00830799" w:rsidRPr="0077493A" w:rsidRDefault="00FA5647" w:rsidP="007F5475">
      <w:pPr>
        <w:pStyle w:val="Odstavecseseznamem"/>
        <w:numPr>
          <w:ilvl w:val="0"/>
          <w:numId w:val="14"/>
        </w:numPr>
        <w:jc w:val="both"/>
      </w:pPr>
      <w:r w:rsidRPr="0077493A">
        <w:t>informování odborné veřejnosti a široké veřejnosti o konání</w:t>
      </w:r>
      <w:r w:rsidR="00830799" w:rsidRPr="0077493A">
        <w:t xml:space="preserve"> konferencí, seminářů nebo</w:t>
      </w:r>
    </w:p>
    <w:p w14:paraId="0A15DB4F" w14:textId="0F880166" w:rsidR="00495C5D" w:rsidRPr="0077493A" w:rsidRDefault="00FA5647" w:rsidP="007F5475">
      <w:pPr>
        <w:pStyle w:val="Odstavecseseznamem"/>
        <w:numPr>
          <w:ilvl w:val="0"/>
          <w:numId w:val="14"/>
        </w:numPr>
        <w:jc w:val="both"/>
      </w:pPr>
      <w:r w:rsidRPr="0077493A">
        <w:t>popularizačních aktivit na webových stránkách poskytovatele, řešitele projektu.</w:t>
      </w:r>
    </w:p>
    <w:p w14:paraId="5C9833D0" w14:textId="2FBCA635" w:rsidR="00FE2422" w:rsidRDefault="00FE2422" w:rsidP="00FE2422"/>
    <w:p w14:paraId="20500089" w14:textId="03B4F4B7" w:rsidR="00FE2422" w:rsidRDefault="00FE2422" w:rsidP="00C77F9F">
      <w:pPr>
        <w:jc w:val="both"/>
      </w:pPr>
    </w:p>
    <w:tbl>
      <w:tblPr>
        <w:tblStyle w:val="Mkatabulky"/>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3221"/>
        <w:gridCol w:w="5778"/>
      </w:tblGrid>
      <w:tr w:rsidR="0064308E" w14:paraId="2B0EEE7A" w14:textId="77777777" w:rsidTr="0064308E">
        <w:tc>
          <w:tcPr>
            <w:tcW w:w="3221" w:type="dxa"/>
          </w:tcPr>
          <w:p w14:paraId="1D57C088" w14:textId="77777777" w:rsidR="00F70A60" w:rsidRPr="00F70A60" w:rsidRDefault="0064308E" w:rsidP="007F5475">
            <w:pPr>
              <w:pStyle w:val="Odstavecseseznamem"/>
              <w:numPr>
                <w:ilvl w:val="0"/>
                <w:numId w:val="16"/>
              </w:numPr>
              <w:rPr>
                <w:b/>
                <w:sz w:val="28"/>
                <w:szCs w:val="28"/>
              </w:rPr>
            </w:pPr>
            <w:r w:rsidRPr="002C25DC">
              <w:rPr>
                <w:b/>
                <w:color w:val="FFC000"/>
                <w:sz w:val="28"/>
                <w:szCs w:val="28"/>
              </w:rPr>
              <w:t>DOPORUČENÍ</w:t>
            </w:r>
          </w:p>
          <w:p w14:paraId="1AC4AF72" w14:textId="3C9AB0CB" w:rsidR="0064308E" w:rsidRPr="002C25DC" w:rsidRDefault="00F70A60" w:rsidP="00F70A60">
            <w:pPr>
              <w:pStyle w:val="Odstavecseseznamem"/>
              <w:jc w:val="right"/>
              <w:rPr>
                <w:b/>
                <w:sz w:val="28"/>
                <w:szCs w:val="28"/>
              </w:rPr>
            </w:pPr>
            <w:r>
              <w:rPr>
                <w:b/>
                <w:color w:val="FFC000"/>
                <w:sz w:val="28"/>
                <w:szCs w:val="28"/>
              </w:rPr>
              <w:t>vzešlá z jednání platformy pro přípravu MP</w:t>
            </w:r>
            <w:r w:rsidRPr="002C25DC">
              <w:rPr>
                <w:b/>
                <w:color w:val="FFC000"/>
                <w:sz w:val="28"/>
                <w:szCs w:val="28"/>
              </w:rPr>
              <w:t xml:space="preserve">           </w:t>
            </w:r>
            <w:r w:rsidR="0064308E" w:rsidRPr="002C25DC">
              <w:rPr>
                <w:b/>
                <w:color w:val="FFC000"/>
                <w:sz w:val="28"/>
                <w:szCs w:val="28"/>
              </w:rPr>
              <w:t xml:space="preserve">      </w:t>
            </w:r>
          </w:p>
        </w:tc>
        <w:tc>
          <w:tcPr>
            <w:tcW w:w="5778" w:type="dxa"/>
          </w:tcPr>
          <w:p w14:paraId="75443E8C" w14:textId="77777777" w:rsidR="0064308E" w:rsidRPr="0064308E" w:rsidRDefault="0064308E" w:rsidP="007F5475">
            <w:pPr>
              <w:pStyle w:val="Odstavecseseznamem"/>
              <w:numPr>
                <w:ilvl w:val="0"/>
                <w:numId w:val="15"/>
              </w:numPr>
            </w:pPr>
            <w:r w:rsidRPr="00F911BA">
              <w:rPr>
                <w:rFonts w:ascii="Calibri" w:hAnsi="Calibri" w:cs="Calibri"/>
              </w:rPr>
              <w:t xml:space="preserve">Vytvořit komunikačně-metodickou platformu sdružující jednotlivé poskytovatele a SVVI ÚV poskytující prostor pro sdílení zkušeností a diskusi metodických otázek. </w:t>
            </w:r>
          </w:p>
          <w:p w14:paraId="473F9DFD" w14:textId="2E1C4EDA" w:rsidR="0064308E" w:rsidRPr="0064308E" w:rsidRDefault="0064308E" w:rsidP="007F5475">
            <w:pPr>
              <w:pStyle w:val="Odstavecseseznamem"/>
              <w:numPr>
                <w:ilvl w:val="0"/>
                <w:numId w:val="15"/>
              </w:numPr>
            </w:pPr>
            <w:r w:rsidRPr="00C5798B">
              <w:rPr>
                <w:rFonts w:ascii="Calibri" w:hAnsi="Calibri" w:cs="Calibri"/>
              </w:rPr>
              <w:t>Vytvořit společnou webovou prezentaci programů a</w:t>
            </w:r>
            <w:r w:rsidR="00804D9A">
              <w:rPr>
                <w:rFonts w:ascii="Calibri" w:hAnsi="Calibri" w:cs="Calibri"/>
              </w:rPr>
              <w:t> </w:t>
            </w:r>
            <w:r w:rsidRPr="00C5798B">
              <w:rPr>
                <w:rFonts w:ascii="Calibri" w:hAnsi="Calibri" w:cs="Calibri"/>
              </w:rPr>
              <w:t>veřejných soutěží.</w:t>
            </w:r>
          </w:p>
          <w:p w14:paraId="1C271BFA" w14:textId="77777777" w:rsidR="0064308E" w:rsidRDefault="0064308E" w:rsidP="007F5475">
            <w:pPr>
              <w:pStyle w:val="Odstavecseseznamem"/>
              <w:numPr>
                <w:ilvl w:val="0"/>
                <w:numId w:val="15"/>
              </w:numPr>
            </w:pPr>
            <w:r>
              <w:t>Zajistit v</w:t>
            </w:r>
            <w:r w:rsidRPr="001E4B70">
              <w:t>časné a zodpovědné informování potenciálních žadatelů</w:t>
            </w:r>
            <w:r>
              <w:t xml:space="preserve"> o připravovaných veřejných soutěžích a o podmínkách podávání žádostí</w:t>
            </w:r>
            <w:r w:rsidRPr="001E4B70">
              <w:t>.</w:t>
            </w:r>
          </w:p>
          <w:p w14:paraId="068B5A2C" w14:textId="5721F7D0" w:rsidR="0064308E" w:rsidRDefault="008220E6" w:rsidP="007F5475">
            <w:pPr>
              <w:pStyle w:val="Odstavecseseznamem"/>
              <w:numPr>
                <w:ilvl w:val="0"/>
                <w:numId w:val="15"/>
              </w:numPr>
            </w:pPr>
            <w:r>
              <w:t>Zajistit sdílení informací poskytovatelů a řešitelů programů a projektů o výsledcích a dopadech konkrétních činností v oblasti VVI.</w:t>
            </w:r>
          </w:p>
        </w:tc>
      </w:tr>
    </w:tbl>
    <w:p w14:paraId="61EE263C" w14:textId="70F6A501" w:rsidR="00016A26" w:rsidRDefault="00016A26" w:rsidP="00016A26">
      <w:pPr>
        <w:jc w:val="both"/>
      </w:pPr>
    </w:p>
    <w:p w14:paraId="412508E1" w14:textId="36ABFB95" w:rsidR="006E3DBC" w:rsidRDefault="006E3DBC" w:rsidP="00016A26">
      <w:pPr>
        <w:jc w:val="both"/>
      </w:pPr>
    </w:p>
    <w:p w14:paraId="7EDF4EF4" w14:textId="4FB457E0" w:rsidR="006E3DBC" w:rsidRDefault="006E3DBC" w:rsidP="00016A26">
      <w:pPr>
        <w:jc w:val="both"/>
      </w:pPr>
    </w:p>
    <w:p w14:paraId="0E2E66D6" w14:textId="44A35A84" w:rsidR="006E3DBC" w:rsidRDefault="006E3DBC" w:rsidP="00016A26">
      <w:pPr>
        <w:jc w:val="both"/>
      </w:pPr>
    </w:p>
    <w:p w14:paraId="569184E1" w14:textId="2393EA89" w:rsidR="00BD2396" w:rsidRDefault="00E15A5A" w:rsidP="007F5475">
      <w:pPr>
        <w:pStyle w:val="Nadpis1"/>
        <w:numPr>
          <w:ilvl w:val="0"/>
          <w:numId w:val="19"/>
        </w:numPr>
      </w:pPr>
      <w:bookmarkStart w:id="72" w:name="_Toc195184961"/>
      <w:r>
        <w:t>Přílohy</w:t>
      </w:r>
      <w:bookmarkEnd w:id="72"/>
    </w:p>
    <w:p w14:paraId="040AC484" w14:textId="77777777" w:rsidR="006C12B1" w:rsidRDefault="006C12B1" w:rsidP="006C12B1"/>
    <w:p w14:paraId="22E3C5AE" w14:textId="5E50C742" w:rsidR="006C12B1" w:rsidRDefault="006C12B1" w:rsidP="007F5475">
      <w:pPr>
        <w:pStyle w:val="Nadpis2"/>
        <w:numPr>
          <w:ilvl w:val="1"/>
          <w:numId w:val="19"/>
        </w:numPr>
        <w:ind w:left="718"/>
      </w:pPr>
      <w:bookmarkStart w:id="73" w:name="_Toc195184962"/>
      <w:r>
        <w:t>Jednání platformy pro přípravu metodického pokynu (data a témata)</w:t>
      </w:r>
      <w:bookmarkEnd w:id="73"/>
    </w:p>
    <w:p w14:paraId="4E449CA1" w14:textId="77777777" w:rsidR="006C12B1" w:rsidRDefault="006C12B1" w:rsidP="006C12B1"/>
    <w:p w14:paraId="5473F77D" w14:textId="755C0686" w:rsidR="00E01D8E" w:rsidRDefault="00E01D8E" w:rsidP="00E01D8E">
      <w:r>
        <w:t>-</w:t>
      </w:r>
      <w:r w:rsidR="0077493A">
        <w:t xml:space="preserve"> </w:t>
      </w:r>
      <w:r>
        <w:t>20. 3. 2024</w:t>
      </w:r>
      <w:r>
        <w:tab/>
      </w:r>
      <w:r>
        <w:tab/>
        <w:t>Hodnotící proces a práce s hodnotiteli</w:t>
      </w:r>
    </w:p>
    <w:p w14:paraId="7FEA67EC" w14:textId="6D24BD81" w:rsidR="00E01D8E" w:rsidRDefault="00E01D8E" w:rsidP="00E01D8E">
      <w:r>
        <w:t>-</w:t>
      </w:r>
      <w:r w:rsidR="0077493A">
        <w:t xml:space="preserve"> </w:t>
      </w:r>
      <w:r>
        <w:t>24. 4. 2024</w:t>
      </w:r>
      <w:r>
        <w:tab/>
      </w:r>
      <w:r>
        <w:tab/>
        <w:t>Příprava programů a veřejných soutěží</w:t>
      </w:r>
    </w:p>
    <w:p w14:paraId="5EA1D00E" w14:textId="13EAE53D" w:rsidR="00E01D8E" w:rsidRDefault="00E01D8E" w:rsidP="00E01D8E">
      <w:r>
        <w:t>-</w:t>
      </w:r>
      <w:r w:rsidR="0077493A">
        <w:t xml:space="preserve"> </w:t>
      </w:r>
      <w:r>
        <w:t>29. 5. 2024</w:t>
      </w:r>
      <w:r>
        <w:tab/>
      </w:r>
      <w:r>
        <w:tab/>
        <w:t>Realizace projektu</w:t>
      </w:r>
    </w:p>
    <w:p w14:paraId="00B784BA" w14:textId="1940C99B" w:rsidR="00E01D8E" w:rsidRDefault="00E01D8E" w:rsidP="00E01D8E">
      <w:r>
        <w:t>-</w:t>
      </w:r>
      <w:r w:rsidR="0077493A">
        <w:t xml:space="preserve"> </w:t>
      </w:r>
      <w:r>
        <w:t>26. 6. 2024</w:t>
      </w:r>
      <w:r>
        <w:tab/>
      </w:r>
      <w:r>
        <w:tab/>
        <w:t>Monitorování a evaluace programů</w:t>
      </w:r>
    </w:p>
    <w:p w14:paraId="74DC889B" w14:textId="6D102A86" w:rsidR="006C12B1" w:rsidRDefault="00E01D8E" w:rsidP="00E01D8E">
      <w:r>
        <w:t>-</w:t>
      </w:r>
      <w:r w:rsidR="0077493A">
        <w:t xml:space="preserve"> </w:t>
      </w:r>
      <w:r>
        <w:t>4. 9. 2024</w:t>
      </w:r>
      <w:r>
        <w:tab/>
      </w:r>
      <w:r>
        <w:tab/>
        <w:t>Výstupy z platformy</w:t>
      </w:r>
    </w:p>
    <w:p w14:paraId="60CA62D0" w14:textId="4B4D8438" w:rsidR="0077493A" w:rsidRDefault="0077493A">
      <w:r>
        <w:br w:type="page"/>
      </w:r>
    </w:p>
    <w:p w14:paraId="77D631F4" w14:textId="77777777" w:rsidR="006C12B1" w:rsidRPr="006C12B1" w:rsidRDefault="006C12B1" w:rsidP="006C12B1"/>
    <w:p w14:paraId="69145FB8" w14:textId="5384F3D0" w:rsidR="008874FA" w:rsidRPr="008874FA" w:rsidRDefault="00F174E6" w:rsidP="007F5475">
      <w:pPr>
        <w:pStyle w:val="Nadpis2"/>
        <w:numPr>
          <w:ilvl w:val="1"/>
          <w:numId w:val="19"/>
        </w:numPr>
        <w:ind w:left="718"/>
        <w:rPr>
          <w:rFonts w:eastAsia="Times New Roman"/>
        </w:rPr>
      </w:pPr>
      <w:bookmarkStart w:id="74" w:name="_Toc195184963"/>
      <w:r>
        <w:rPr>
          <w:rFonts w:eastAsia="Times New Roman"/>
        </w:rPr>
        <w:t>Vzor jednotného čestného prohlášení pro žadat</w:t>
      </w:r>
      <w:r w:rsidR="00650757">
        <w:rPr>
          <w:rFonts w:eastAsia="Times New Roman"/>
        </w:rPr>
        <w:t>ele o účelovou podporu (1</w:t>
      </w:r>
      <w:r w:rsidR="008874FA">
        <w:rPr>
          <w:rFonts w:eastAsia="Times New Roman"/>
        </w:rPr>
        <w:t>/2025</w:t>
      </w:r>
      <w:r>
        <w:rPr>
          <w:rFonts w:eastAsia="Times New Roman"/>
        </w:rPr>
        <w:t>)</w:t>
      </w:r>
      <w:bookmarkEnd w:id="74"/>
    </w:p>
    <w:p w14:paraId="7BC3D878" w14:textId="6DC76E6F" w:rsidR="00D7115D" w:rsidRDefault="00D7115D" w:rsidP="00D7115D"/>
    <w:p w14:paraId="23546EC7" w14:textId="77777777" w:rsidR="00D7115D" w:rsidRPr="00DD2359" w:rsidRDefault="00D7115D" w:rsidP="00D7115D">
      <w:pPr>
        <w:rPr>
          <w:b/>
        </w:rPr>
      </w:pPr>
      <w:r>
        <w:rPr>
          <w:b/>
        </w:rPr>
        <w:t>I.</w:t>
      </w:r>
      <w:r>
        <w:rPr>
          <w:b/>
        </w:rPr>
        <w:tab/>
        <w:t>Identifikace uchazeče:</w:t>
      </w:r>
    </w:p>
    <w:p w14:paraId="792A9371" w14:textId="77777777" w:rsidR="00D7115D" w:rsidRDefault="00D7115D" w:rsidP="00D7115D">
      <w:r>
        <w:t xml:space="preserve">Žadatel je právnická osoba                 </w:t>
      </w:r>
      <w:r>
        <w:rPr>
          <w:rFonts w:ascii="Segoe UI Symbol" w:hAnsi="Segoe UI Symbol" w:cs="Segoe UI Symbol"/>
        </w:rPr>
        <w:t>⬜</w:t>
      </w:r>
      <w:r>
        <w:tab/>
      </w:r>
      <w:r>
        <w:tab/>
      </w:r>
      <w:r>
        <w:tab/>
      </w:r>
      <w:r>
        <w:tab/>
      </w:r>
    </w:p>
    <w:p w14:paraId="71675D5E" w14:textId="77777777" w:rsidR="00D7115D" w:rsidRDefault="00D7115D" w:rsidP="00D7115D">
      <w:r>
        <w:t>Obchodní firma nebo název:</w:t>
      </w:r>
    </w:p>
    <w:p w14:paraId="2575E127" w14:textId="77777777" w:rsidR="00D7115D" w:rsidRDefault="00D7115D" w:rsidP="00D7115D">
      <w:r>
        <w:t xml:space="preserve">Sídlo:  </w:t>
      </w:r>
    </w:p>
    <w:p w14:paraId="364B4E57" w14:textId="77777777" w:rsidR="00D7115D" w:rsidRDefault="00D7115D" w:rsidP="00D7115D">
      <w:r>
        <w:t xml:space="preserve">IČO: </w:t>
      </w:r>
    </w:p>
    <w:p w14:paraId="020929CA" w14:textId="77777777" w:rsidR="00D7115D" w:rsidRDefault="00D7115D" w:rsidP="00D7115D"/>
    <w:p w14:paraId="3494D71E" w14:textId="77777777" w:rsidR="00D7115D" w:rsidRDefault="00D7115D" w:rsidP="00D7115D">
      <w:r>
        <w:t xml:space="preserve">Žadatel je fyzická osoba                   </w:t>
      </w:r>
      <w:r>
        <w:rPr>
          <w:rFonts w:ascii="Segoe UI Symbol" w:hAnsi="Segoe UI Symbol" w:cs="Segoe UI Symbol"/>
        </w:rPr>
        <w:t>⬜</w:t>
      </w:r>
    </w:p>
    <w:p w14:paraId="4D0D5E3C" w14:textId="45FBB078" w:rsidR="00D7115D" w:rsidRDefault="00D7115D" w:rsidP="00D7115D">
      <w:r>
        <w:t>Jméno a příjmení:</w:t>
      </w:r>
    </w:p>
    <w:p w14:paraId="14E50774" w14:textId="77777777" w:rsidR="00D7115D" w:rsidRDefault="00D7115D" w:rsidP="00D7115D">
      <w:r>
        <w:t>Datum narození:</w:t>
      </w:r>
    </w:p>
    <w:p w14:paraId="315BB6F2" w14:textId="77777777" w:rsidR="00D7115D" w:rsidRDefault="00D7115D" w:rsidP="00D7115D">
      <w:r>
        <w:t>Bydliště:</w:t>
      </w:r>
    </w:p>
    <w:p w14:paraId="26863888" w14:textId="77777777" w:rsidR="00D7115D" w:rsidRDefault="00D7115D" w:rsidP="00D7115D">
      <w:r>
        <w:t>Místo podnikání:</w:t>
      </w:r>
    </w:p>
    <w:p w14:paraId="0633925A" w14:textId="77777777" w:rsidR="00D7115D" w:rsidRDefault="00D7115D" w:rsidP="00D7115D">
      <w:r>
        <w:t xml:space="preserve">IČO: </w:t>
      </w:r>
    </w:p>
    <w:p w14:paraId="03822B1D" w14:textId="77777777" w:rsidR="00D7115D" w:rsidRDefault="00D7115D" w:rsidP="005B56E8"/>
    <w:p w14:paraId="33BCB5A7" w14:textId="77777777" w:rsidR="00D7115D" w:rsidRPr="00DD2359" w:rsidRDefault="00D7115D" w:rsidP="00D7115D">
      <w:pPr>
        <w:rPr>
          <w:b/>
        </w:rPr>
      </w:pPr>
      <w:r w:rsidRPr="00DD2359">
        <w:rPr>
          <w:b/>
        </w:rPr>
        <w:t>II.</w:t>
      </w:r>
      <w:r w:rsidRPr="00DD2359">
        <w:rPr>
          <w:b/>
        </w:rPr>
        <w:tab/>
        <w:t xml:space="preserve">Čestně prohlašuji, že uchazeč:   </w:t>
      </w:r>
    </w:p>
    <w:p w14:paraId="69919165" w14:textId="15CE4C04" w:rsidR="00D7115D" w:rsidRDefault="00D7115D" w:rsidP="00804D9A">
      <w:pPr>
        <w:jc w:val="both"/>
      </w:pPr>
      <w:r>
        <w:t>1)</w:t>
      </w:r>
      <w:r w:rsidR="0077493A">
        <w:t xml:space="preserve"> </w:t>
      </w:r>
      <w:r>
        <w:t>splňuje odborné předpoklady k řešení projektu stanovené zadávací dokumentací (§</w:t>
      </w:r>
      <w:r w:rsidR="00C9161B">
        <w:t xml:space="preserve"> </w:t>
      </w:r>
      <w:r>
        <w:t xml:space="preserve">18 odst. 2 písm. a) ZPVV) </w:t>
      </w:r>
    </w:p>
    <w:p w14:paraId="1083C5B5" w14:textId="3430EFB3" w:rsidR="00D7115D" w:rsidRDefault="00D7115D" w:rsidP="00804D9A">
      <w:pPr>
        <w:jc w:val="both"/>
      </w:pPr>
      <w:r>
        <w:t>2)</w:t>
      </w:r>
      <w:r w:rsidR="0077493A">
        <w:t xml:space="preserve"> </w:t>
      </w:r>
      <w:r>
        <w:t>splňuje všechny podmínky pro typ organizace, kterou deklaruje v návrhu projektu být, tzn. buď podmínky pro jednu z kategorií podniku (malý podnik, střední podnik, velký podnik) dle Nařízení Komise (EU) č. 651/2014 ze dne 17. června 2014, kterým se v souladu s články 107 a 108 Smlouvy prohlašují určité kategorie podpory za slučitelné s vnitřním trhem, tzv. obecného nařízení o blokových výjimkách (dále jen „Nařízení”), nebo splňuje podmínky uvedené v definici výzkumné organizace v</w:t>
      </w:r>
      <w:r w:rsidR="00804D9A">
        <w:t> </w:t>
      </w:r>
      <w:r>
        <w:t>Nařízení, případně pro jiný typ uchazeče dle podmínek definovaných Zadávací dokumentací/ Národními podmínkami pro českého uchazeče v dané mezinárodní výzvě,</w:t>
      </w:r>
    </w:p>
    <w:p w14:paraId="2A446774" w14:textId="1DBB16A5" w:rsidR="00D7115D" w:rsidRDefault="00D7115D" w:rsidP="00804D9A">
      <w:pPr>
        <w:jc w:val="both"/>
      </w:pPr>
      <w:r>
        <w:t>3)</w:t>
      </w:r>
      <w:r w:rsidR="0077493A">
        <w:t xml:space="preserve"> </w:t>
      </w:r>
      <w:r>
        <w:t>doložil v rámci návrhu projektu zvláštní povolení k činnostem, které plánuje vykonávat dle návrhu projektu, pokud toto povolení vyžaduje zvláštní právní předpis (§ 18 odst. 2 písm. b) ZPVV),</w:t>
      </w:r>
    </w:p>
    <w:p w14:paraId="1D41978C" w14:textId="67649546" w:rsidR="00D7115D" w:rsidRDefault="00D7115D" w:rsidP="00804D9A">
      <w:pPr>
        <w:jc w:val="both"/>
      </w:pPr>
      <w:r>
        <w:t>4)</w:t>
      </w:r>
      <w:r w:rsidR="0077493A">
        <w:t xml:space="preserve"> </w:t>
      </w:r>
      <w:r>
        <w:t>není v likvidaci a jeho úpadek nebo hrozící úpadek není řešen v insolvenčním řízení, anebo nebyl zamítnut návrh na prohlášení konkursu pro nedostatek jeho majetku (§ 18 odst. 2 písm. c) ZPVV),</w:t>
      </w:r>
    </w:p>
    <w:p w14:paraId="785F977E" w14:textId="07024363" w:rsidR="00D7115D" w:rsidRDefault="00D7115D" w:rsidP="00804D9A">
      <w:pPr>
        <w:jc w:val="both"/>
      </w:pPr>
      <w:r>
        <w:t>5)</w:t>
      </w:r>
      <w:r w:rsidR="0077493A">
        <w:t xml:space="preserve"> </w:t>
      </w:r>
      <w:r>
        <w:t>má vypořádány splatné závazky ve vztahu ke státnímu rozpočtu nebo rozpočtu územního samosprávného celku a další splatné závazky vůči státu, státnímu fondu, zdravotní pojišťovně nebo České správě sociálního zabezpečení (§ 18 odst. 2 písm. d) ZPVV),</w:t>
      </w:r>
    </w:p>
    <w:p w14:paraId="0643C17A" w14:textId="316A9AFA" w:rsidR="00D7115D" w:rsidRDefault="00D7115D" w:rsidP="00804D9A">
      <w:pPr>
        <w:jc w:val="both"/>
      </w:pPr>
      <w:r>
        <w:t>6)</w:t>
      </w:r>
      <w:r w:rsidR="0077493A">
        <w:t xml:space="preserve"> </w:t>
      </w:r>
      <w:r>
        <w:t xml:space="preserve">je-li fyzickou osobou, nebyl pravomocně odsouzen pro trestný čin, jehož skutková podstata souvisí s předmětem podnikání uchazeče, nebo pro trestný čin hospodářský nebo trestný čin proti majetku, </w:t>
      </w:r>
      <w:r>
        <w:lastRenderedPageBreak/>
        <w:t>nebo se na něj tak podle zákona hledí; je-li právnickou osobou, nebyl pravomocně odsouzen pro trestný čin, jehož skutková podstata souvisí s předmětem podnikání (činnosti) nebo pro trestný čin hospodářský, nebo trestný čin proti majetku, nebo se na něj tak podle zákona hledí (§ 18 odst. 2 písm. e) ZPVV),</w:t>
      </w:r>
    </w:p>
    <w:p w14:paraId="70620CCE" w14:textId="59872C84" w:rsidR="00D7115D" w:rsidRDefault="00D7115D" w:rsidP="00804D9A">
      <w:pPr>
        <w:jc w:val="both"/>
      </w:pPr>
      <w:r>
        <w:t>7)</w:t>
      </w:r>
      <w:r w:rsidR="0077493A">
        <w:t xml:space="preserve"> </w:t>
      </w:r>
      <w:r>
        <w:t>nebyl v posledních třech letech disciplinárně potrestán za výkon odborné činnosti související s</w:t>
      </w:r>
      <w:r w:rsidR="00804D9A">
        <w:t> </w:t>
      </w:r>
      <w:r>
        <w:t>předmětem projektu (§ 18 odst. 2 písm. f) ZPVV),</w:t>
      </w:r>
    </w:p>
    <w:p w14:paraId="7C923078" w14:textId="3974FBD0" w:rsidR="00D7115D" w:rsidRDefault="00D7115D" w:rsidP="00804D9A">
      <w:pPr>
        <w:jc w:val="both"/>
      </w:pPr>
      <w:r>
        <w:t>8)</w:t>
      </w:r>
      <w:r w:rsidR="0077493A">
        <w:t xml:space="preserve"> </w:t>
      </w:r>
      <w:r>
        <w:t>není v pracovněprávním ani jiném obdobném poměru k právnické osobě pověřené organizací veřejné soutěže ve výzkumu, experimentálním vývoji a inovacích podle ustanovení § 23 odst. 2 zákona č. 130/2002 Sb. (§18 odst. 2 písm. g) ZPVV),</w:t>
      </w:r>
    </w:p>
    <w:p w14:paraId="0F5A72B1" w14:textId="43089931" w:rsidR="00D7115D" w:rsidRDefault="00D7115D" w:rsidP="00804D9A">
      <w:pPr>
        <w:jc w:val="both"/>
      </w:pPr>
      <w:r>
        <w:t>9)</w:t>
      </w:r>
      <w:r w:rsidR="0077493A">
        <w:t xml:space="preserve"> </w:t>
      </w:r>
      <w:r>
        <w:t>není podnikem v obtížích (§ 18 odst. 2 písm. h) ZPVV),</w:t>
      </w:r>
    </w:p>
    <w:p w14:paraId="2FEDB9DC" w14:textId="403327C1" w:rsidR="00D7115D" w:rsidRDefault="00D7115D" w:rsidP="00804D9A">
      <w:pPr>
        <w:jc w:val="both"/>
      </w:pPr>
      <w:r>
        <w:t>10)</w:t>
      </w:r>
      <w:r w:rsidR="0077493A">
        <w:t xml:space="preserve"> </w:t>
      </w:r>
      <w:r>
        <w:t>není obchodní společností, ve které veřejný funkcionář nebo jím ovládaná osoba vlastní podíl představující alespoň 25 % účasti společníka (§ 4c zákona č. 159/2006 Sb.,</w:t>
      </w:r>
      <w:r w:rsidR="0077493A">
        <w:t xml:space="preserve"> </w:t>
      </w:r>
      <w:r>
        <w:t>o střetu zájmů),</w:t>
      </w:r>
    </w:p>
    <w:p w14:paraId="4DFFF321" w14:textId="6FB367C7" w:rsidR="00D7115D" w:rsidRDefault="00D7115D" w:rsidP="00804D9A">
      <w:pPr>
        <w:jc w:val="both"/>
      </w:pPr>
      <w:r>
        <w:t>11)</w:t>
      </w:r>
      <w:r w:rsidR="0077493A">
        <w:t xml:space="preserve"> </w:t>
      </w:r>
      <w:r>
        <w:t>zajistil zápis zákonem požadovaných údajů o všech svých skutečných majitelích ve smyslu zákona č. 37/2021 Sb., o evidenci skutečných majitelů, tak, aby nejdéle do termínu konce soutěžní lhůty/ lhůty pro podávání úplných návrhů projektů na mezinárodní úrovni, byly uvedené údaje dostupné v evidenci skutečných majitelů,</w:t>
      </w:r>
    </w:p>
    <w:p w14:paraId="174473A1" w14:textId="65FE0187" w:rsidR="00D7115D" w:rsidRDefault="00D7115D" w:rsidP="00804D9A">
      <w:pPr>
        <w:jc w:val="both"/>
      </w:pPr>
      <w:r>
        <w:t>12)</w:t>
      </w:r>
      <w:r w:rsidR="0077493A">
        <w:t xml:space="preserve"> </w:t>
      </w:r>
      <w:r>
        <w:t>není subjektem, kterému je zakázáno poskytnout podporu na základě přímo účinného předpisu Evropské unie,</w:t>
      </w:r>
      <w:r w:rsidR="0077493A">
        <w:t xml:space="preserve"> </w:t>
      </w:r>
      <w:r>
        <w:t>a zároveň:</w:t>
      </w:r>
    </w:p>
    <w:p w14:paraId="3814A05C" w14:textId="3BA6E222" w:rsidR="00D7115D" w:rsidRDefault="00D7115D" w:rsidP="00804D9A">
      <w:pPr>
        <w:jc w:val="both"/>
      </w:pPr>
      <w:r>
        <w:t>13)</w:t>
      </w:r>
      <w:r w:rsidR="0077493A">
        <w:t xml:space="preserve"> </w:t>
      </w:r>
      <w:r>
        <w:t>žádný/á z členů/</w:t>
      </w:r>
      <w:proofErr w:type="spellStart"/>
      <w:r>
        <w:t>ek</w:t>
      </w:r>
      <w:proofErr w:type="spellEnd"/>
      <w:r>
        <w:t xml:space="preserve"> statutárního orgánu uchazeče nebyl/a pravomocně odsouzen/a pro trestný čin, jehož skutková podstata souvisí s předmětem podnikání uchazeče, nebo pro trestný čin hospodářský nebo trestný čin proti majetku (§ 18 odst. 2 písm. e) ZPVV a § 18 odst. 4 písm. b) ZPVV),</w:t>
      </w:r>
    </w:p>
    <w:p w14:paraId="0A58BE18" w14:textId="42978EC9" w:rsidR="00D7115D" w:rsidRDefault="00D7115D" w:rsidP="00804D9A">
      <w:pPr>
        <w:jc w:val="both"/>
      </w:pPr>
      <w:r>
        <w:t>14)</w:t>
      </w:r>
      <w:r w:rsidR="0077493A">
        <w:t xml:space="preserve"> </w:t>
      </w:r>
      <w:r>
        <w:t xml:space="preserve">žádný skutečný majitel uchazeče ve smyslu zákona č. 37/2021 Sb., o evidenci skutečných majitelů, není veřejným funkcionářem dle § 2 odst. 1 písm. c) zákona č. 159/2006 Sb., o střetu zájmů, ani není žádný takový skutečný majitel uveden mezi osobami, na něž je uvalena sankce uplatnitelná podle zákona č. 69/2006 Sb., o provádění mezinárodních sankcí, </w:t>
      </w:r>
    </w:p>
    <w:p w14:paraId="09815BF0" w14:textId="7C868CFC" w:rsidR="00D7115D" w:rsidRDefault="00D7115D" w:rsidP="00804D9A">
      <w:pPr>
        <w:jc w:val="both"/>
      </w:pPr>
      <w:r>
        <w:t>15)</w:t>
      </w:r>
      <w:r w:rsidR="0077493A">
        <w:t xml:space="preserve"> </w:t>
      </w:r>
      <w:r>
        <w:t>vůči uchazeči nebyl v návaznosti na rozhodnutí Evropské komise, na základě kterého/jímž byla podpora obdržená od poskytovatele z České republiky prohlášena za protiprávní a neslučitelnou s</w:t>
      </w:r>
      <w:r w:rsidR="00804D9A">
        <w:t> </w:t>
      </w:r>
      <w:r>
        <w:t>vnitřním trhem, vystaven inkasní příkaz, který je nesplacený (§18 odst. 2 písm. i) ZPVV).</w:t>
      </w:r>
    </w:p>
    <w:p w14:paraId="42B0C906" w14:textId="4AF06423" w:rsidR="00D7115D" w:rsidRDefault="00D7115D" w:rsidP="00804D9A">
      <w:pPr>
        <w:jc w:val="both"/>
      </w:pPr>
      <w:r>
        <w:t>Prohlašuji, že všechny údaje uvedené v návrhu projektu a dokumenty předané poskytovateli spolu s</w:t>
      </w:r>
      <w:r w:rsidR="00804D9A">
        <w:t> </w:t>
      </w:r>
      <w:r>
        <w:t xml:space="preserve">návrhem projektu jsou v souladu se skutečným stavem ke dni podání návrhu projektu, a jsem si je plně vědom toho, že pokud bych uvedl nepravdivé údaje, budu čelit všem z toho vyplývajícím právním následkům. </w:t>
      </w:r>
    </w:p>
    <w:p w14:paraId="57E7E57D" w14:textId="11A0A9AA" w:rsidR="00D7115D" w:rsidRDefault="00D7115D" w:rsidP="00804D9A">
      <w:pPr>
        <w:jc w:val="both"/>
      </w:pPr>
      <w:r>
        <w:t>Prohlašuji, že v případě změny údajů budu poskytovatele informovat, případně dodám nové čestné prohlášení.</w:t>
      </w:r>
    </w:p>
    <w:p w14:paraId="765BBF21" w14:textId="77777777" w:rsidR="00D7115D" w:rsidRDefault="00D7115D" w:rsidP="00D7115D">
      <w:r>
        <w:t>V---------------------------------dne ------------                             ------------------------------------------</w:t>
      </w:r>
    </w:p>
    <w:p w14:paraId="6DFBE510" w14:textId="615F8EF3" w:rsidR="003E1CEB" w:rsidRDefault="00D7115D">
      <w:r>
        <w:tab/>
      </w:r>
      <w:r>
        <w:tab/>
      </w:r>
      <w:r>
        <w:tab/>
      </w:r>
      <w:r>
        <w:tab/>
      </w:r>
      <w:r>
        <w:tab/>
      </w:r>
      <w:r>
        <w:tab/>
      </w:r>
      <w:r>
        <w:tab/>
        <w:t xml:space="preserve">        </w:t>
      </w:r>
      <w:r w:rsidR="005B56E8">
        <w:t>P</w:t>
      </w:r>
      <w:r>
        <w:t>odpis</w:t>
      </w:r>
    </w:p>
    <w:p w14:paraId="168B1F2D" w14:textId="6E805EF5" w:rsidR="005B56E8" w:rsidRDefault="005B56E8">
      <w:r w:rsidRPr="005B56E8">
        <w:tab/>
      </w:r>
    </w:p>
    <w:p w14:paraId="4DC7D94F" w14:textId="77777777" w:rsidR="005B56E8" w:rsidRDefault="005B56E8">
      <w:r>
        <w:br w:type="page"/>
      </w:r>
    </w:p>
    <w:p w14:paraId="790FCEE0" w14:textId="77777777" w:rsidR="005B56E8" w:rsidRDefault="005B56E8"/>
    <w:p w14:paraId="594611D9" w14:textId="77777777" w:rsidR="00481B0B" w:rsidRDefault="00FF2492" w:rsidP="007F5475">
      <w:pPr>
        <w:pStyle w:val="Nadpis2"/>
        <w:numPr>
          <w:ilvl w:val="1"/>
          <w:numId w:val="19"/>
        </w:numPr>
        <w:ind w:left="718"/>
      </w:pPr>
      <w:bookmarkStart w:id="75" w:name="_Toc195184964"/>
      <w:r w:rsidRPr="00685F46">
        <w:t>Harmonogram předložení návrhu programu/skupiny grantových projektů</w:t>
      </w:r>
      <w:bookmarkEnd w:id="75"/>
      <w:r w:rsidRPr="00685F46">
        <w:t xml:space="preserve"> </w:t>
      </w:r>
    </w:p>
    <w:p w14:paraId="3F2CE921" w14:textId="06EBA1B2" w:rsidR="00FF2492" w:rsidRDefault="00FF2492" w:rsidP="007F5475">
      <w:pPr>
        <w:pStyle w:val="Odstavecseseznamem"/>
        <w:numPr>
          <w:ilvl w:val="0"/>
          <w:numId w:val="18"/>
        </w:numPr>
      </w:pPr>
      <w:r w:rsidRPr="00685F46">
        <w:t xml:space="preserve">s financováním od roku X ke stanovisku RVVI </w:t>
      </w:r>
    </w:p>
    <w:p w14:paraId="3E00399E" w14:textId="77777777" w:rsidR="0077493A" w:rsidRPr="00685F46" w:rsidRDefault="0077493A" w:rsidP="0077493A"/>
    <w:tbl>
      <w:tblPr>
        <w:tblStyle w:val="Mkatabulky"/>
        <w:tblW w:w="0" w:type="auto"/>
        <w:tblLook w:val="04A0" w:firstRow="1" w:lastRow="0" w:firstColumn="1" w:lastColumn="0" w:noHBand="0" w:noVBand="1"/>
      </w:tblPr>
      <w:tblGrid>
        <w:gridCol w:w="452"/>
        <w:gridCol w:w="2529"/>
        <w:gridCol w:w="6081"/>
      </w:tblGrid>
      <w:tr w:rsidR="00FF2492" w:rsidRPr="00670FFF" w14:paraId="70A4570A" w14:textId="77777777" w:rsidTr="00AC76E8">
        <w:tc>
          <w:tcPr>
            <w:tcW w:w="452" w:type="dxa"/>
          </w:tcPr>
          <w:p w14:paraId="38F87387" w14:textId="77777777" w:rsidR="00FF2492" w:rsidRPr="005B38E5" w:rsidRDefault="00FF2492" w:rsidP="00AC76E8">
            <w:pPr>
              <w:jc w:val="center"/>
              <w:rPr>
                <w:b/>
                <w:sz w:val="20"/>
                <w:szCs w:val="20"/>
              </w:rPr>
            </w:pPr>
          </w:p>
        </w:tc>
        <w:tc>
          <w:tcPr>
            <w:tcW w:w="2529" w:type="dxa"/>
          </w:tcPr>
          <w:p w14:paraId="2E74C208" w14:textId="77777777" w:rsidR="00FF2492" w:rsidRPr="005B38E5" w:rsidRDefault="00FF2492" w:rsidP="00AC76E8">
            <w:pPr>
              <w:jc w:val="center"/>
              <w:rPr>
                <w:b/>
                <w:sz w:val="20"/>
                <w:szCs w:val="20"/>
              </w:rPr>
            </w:pPr>
            <w:r w:rsidRPr="005B38E5">
              <w:rPr>
                <w:b/>
                <w:sz w:val="20"/>
                <w:szCs w:val="20"/>
              </w:rPr>
              <w:t>Termín</w:t>
            </w:r>
          </w:p>
        </w:tc>
        <w:tc>
          <w:tcPr>
            <w:tcW w:w="6081" w:type="dxa"/>
          </w:tcPr>
          <w:p w14:paraId="50448B64" w14:textId="77777777" w:rsidR="00FF2492" w:rsidRPr="005B38E5" w:rsidRDefault="00FF2492" w:rsidP="00AC76E8">
            <w:pPr>
              <w:jc w:val="center"/>
              <w:rPr>
                <w:b/>
                <w:sz w:val="20"/>
                <w:szCs w:val="20"/>
              </w:rPr>
            </w:pPr>
            <w:r w:rsidRPr="005B38E5">
              <w:rPr>
                <w:b/>
                <w:sz w:val="20"/>
                <w:szCs w:val="20"/>
              </w:rPr>
              <w:t>Činnost</w:t>
            </w:r>
          </w:p>
        </w:tc>
      </w:tr>
      <w:tr w:rsidR="00FF2492" w14:paraId="0BA075CB" w14:textId="77777777" w:rsidTr="00AC76E8">
        <w:tc>
          <w:tcPr>
            <w:tcW w:w="452" w:type="dxa"/>
          </w:tcPr>
          <w:p w14:paraId="6BAC010F" w14:textId="77777777" w:rsidR="00FF2492" w:rsidRPr="005B38E5" w:rsidRDefault="00FF2492" w:rsidP="00AC76E8">
            <w:pPr>
              <w:jc w:val="center"/>
              <w:rPr>
                <w:sz w:val="20"/>
                <w:szCs w:val="20"/>
              </w:rPr>
            </w:pPr>
            <w:r w:rsidRPr="005B38E5">
              <w:rPr>
                <w:sz w:val="20"/>
                <w:szCs w:val="20"/>
              </w:rPr>
              <w:t>1</w:t>
            </w:r>
          </w:p>
        </w:tc>
        <w:tc>
          <w:tcPr>
            <w:tcW w:w="2529" w:type="dxa"/>
          </w:tcPr>
          <w:p w14:paraId="40B181FA" w14:textId="77777777" w:rsidR="00FF2492" w:rsidRPr="005B38E5" w:rsidRDefault="00FF2492" w:rsidP="00AC76E8">
            <w:pPr>
              <w:rPr>
                <w:sz w:val="20"/>
                <w:szCs w:val="20"/>
              </w:rPr>
            </w:pPr>
            <w:r w:rsidRPr="005B38E5">
              <w:rPr>
                <w:sz w:val="20"/>
                <w:szCs w:val="20"/>
              </w:rPr>
              <w:t xml:space="preserve">Konec listopadu roku X-2 </w:t>
            </w:r>
          </w:p>
        </w:tc>
        <w:tc>
          <w:tcPr>
            <w:tcW w:w="6081" w:type="dxa"/>
          </w:tcPr>
          <w:p w14:paraId="74D43274" w14:textId="46B63470" w:rsidR="00FF2492" w:rsidRPr="005B38E5" w:rsidRDefault="00FF2492" w:rsidP="00AC76E8">
            <w:pPr>
              <w:rPr>
                <w:sz w:val="20"/>
                <w:szCs w:val="20"/>
              </w:rPr>
            </w:pPr>
            <w:r w:rsidRPr="005B38E5">
              <w:rPr>
                <w:sz w:val="20"/>
                <w:szCs w:val="20"/>
              </w:rPr>
              <w:t xml:space="preserve">Poskytovatel zasílá žádost o </w:t>
            </w:r>
            <w:r>
              <w:rPr>
                <w:sz w:val="20"/>
                <w:szCs w:val="20"/>
              </w:rPr>
              <w:t>S</w:t>
            </w:r>
            <w:r w:rsidRPr="005B38E5">
              <w:rPr>
                <w:sz w:val="20"/>
                <w:szCs w:val="20"/>
              </w:rPr>
              <w:t>tanovisko RVVI k návrhu programu/skupiny grantových projektů, přičemž RVVI je povinna stanovisko zaslat poskytovateli do 90 dní od obdržení žádost</w:t>
            </w:r>
            <w:r w:rsidR="00221BE4">
              <w:rPr>
                <w:sz w:val="20"/>
                <w:szCs w:val="20"/>
              </w:rPr>
              <w:t>i-</w:t>
            </w:r>
            <w:r w:rsidRPr="005B38E5">
              <w:rPr>
                <w:sz w:val="20"/>
                <w:szCs w:val="20"/>
              </w:rPr>
              <w:t xml:space="preserve">zpravidla to je max. 2 měsíce (ob jedno zasedání RVVI od obdržení žádosti), a to s ohledem na to, že po obdržení žádosti je návrh programu/skupiny grantových projektů postoupen k vyjádření KHV (zasedá 1krát měsíčně) a započne příprava návrhu </w:t>
            </w:r>
            <w:r>
              <w:rPr>
                <w:sz w:val="20"/>
                <w:szCs w:val="20"/>
              </w:rPr>
              <w:t>S</w:t>
            </w:r>
            <w:r w:rsidRPr="005B38E5">
              <w:rPr>
                <w:sz w:val="20"/>
                <w:szCs w:val="20"/>
              </w:rPr>
              <w:t>tanoviska RVVI.</w:t>
            </w:r>
          </w:p>
        </w:tc>
      </w:tr>
      <w:tr w:rsidR="00FF2492" w14:paraId="6959B0E1" w14:textId="77777777" w:rsidTr="00AC76E8">
        <w:tc>
          <w:tcPr>
            <w:tcW w:w="452" w:type="dxa"/>
          </w:tcPr>
          <w:p w14:paraId="25D3A4B8" w14:textId="77777777" w:rsidR="00FF2492" w:rsidRPr="005B38E5" w:rsidRDefault="00FF2492" w:rsidP="00AC76E8">
            <w:pPr>
              <w:jc w:val="center"/>
              <w:rPr>
                <w:sz w:val="20"/>
                <w:szCs w:val="20"/>
              </w:rPr>
            </w:pPr>
            <w:r w:rsidRPr="005B38E5">
              <w:rPr>
                <w:sz w:val="20"/>
                <w:szCs w:val="20"/>
              </w:rPr>
              <w:t>2</w:t>
            </w:r>
          </w:p>
        </w:tc>
        <w:tc>
          <w:tcPr>
            <w:tcW w:w="2529" w:type="dxa"/>
          </w:tcPr>
          <w:p w14:paraId="4362F49F" w14:textId="77777777" w:rsidR="00FF2492" w:rsidRPr="005B38E5" w:rsidRDefault="00FF2492" w:rsidP="00AC76E8">
            <w:pPr>
              <w:rPr>
                <w:sz w:val="20"/>
                <w:szCs w:val="20"/>
              </w:rPr>
            </w:pPr>
            <w:r w:rsidRPr="005B38E5">
              <w:rPr>
                <w:sz w:val="20"/>
                <w:szCs w:val="20"/>
              </w:rPr>
              <w:t>Prosinec roku X-2</w:t>
            </w:r>
          </w:p>
        </w:tc>
        <w:tc>
          <w:tcPr>
            <w:tcW w:w="6081" w:type="dxa"/>
          </w:tcPr>
          <w:p w14:paraId="464F4011" w14:textId="77777777" w:rsidR="00FF2492" w:rsidRPr="005B38E5" w:rsidRDefault="00FF2492" w:rsidP="00AC76E8">
            <w:pPr>
              <w:rPr>
                <w:sz w:val="20"/>
                <w:szCs w:val="20"/>
              </w:rPr>
            </w:pPr>
            <w:r w:rsidRPr="005B38E5">
              <w:rPr>
                <w:sz w:val="20"/>
                <w:szCs w:val="20"/>
              </w:rPr>
              <w:t xml:space="preserve">Věcně příslušný útvar ÚV připravuje návrh </w:t>
            </w:r>
            <w:r>
              <w:rPr>
                <w:sz w:val="20"/>
                <w:szCs w:val="20"/>
              </w:rPr>
              <w:t>S</w:t>
            </w:r>
            <w:r w:rsidRPr="005B38E5">
              <w:rPr>
                <w:sz w:val="20"/>
                <w:szCs w:val="20"/>
              </w:rPr>
              <w:t>tanoviska RVVI, členové KHV připravují Vyjádření (a připomínky) KHV k návrhu programu/skupiny grantových projektů.</w:t>
            </w:r>
          </w:p>
        </w:tc>
      </w:tr>
      <w:tr w:rsidR="00FF2492" w14:paraId="17EA7078" w14:textId="77777777" w:rsidTr="00AC76E8">
        <w:tc>
          <w:tcPr>
            <w:tcW w:w="452" w:type="dxa"/>
          </w:tcPr>
          <w:p w14:paraId="30E38660" w14:textId="77777777" w:rsidR="00FF2492" w:rsidRPr="005B38E5" w:rsidRDefault="00FF2492" w:rsidP="00AC76E8">
            <w:pPr>
              <w:jc w:val="center"/>
              <w:rPr>
                <w:sz w:val="20"/>
                <w:szCs w:val="20"/>
              </w:rPr>
            </w:pPr>
            <w:r w:rsidRPr="005B38E5">
              <w:rPr>
                <w:sz w:val="20"/>
                <w:szCs w:val="20"/>
              </w:rPr>
              <w:t>3</w:t>
            </w:r>
          </w:p>
        </w:tc>
        <w:tc>
          <w:tcPr>
            <w:tcW w:w="2529" w:type="dxa"/>
          </w:tcPr>
          <w:p w14:paraId="23A6D42A" w14:textId="77777777" w:rsidR="00FF2492" w:rsidRPr="005B38E5" w:rsidRDefault="00FF2492" w:rsidP="00AC76E8">
            <w:pPr>
              <w:rPr>
                <w:sz w:val="20"/>
                <w:szCs w:val="20"/>
              </w:rPr>
            </w:pPr>
            <w:r w:rsidRPr="005B38E5">
              <w:rPr>
                <w:sz w:val="20"/>
                <w:szCs w:val="20"/>
              </w:rPr>
              <w:t>Začátek ledna roku X-1</w:t>
            </w:r>
          </w:p>
        </w:tc>
        <w:tc>
          <w:tcPr>
            <w:tcW w:w="6081" w:type="dxa"/>
          </w:tcPr>
          <w:p w14:paraId="52260714" w14:textId="77777777" w:rsidR="00FF2492" w:rsidRPr="005B38E5" w:rsidRDefault="00FF2492" w:rsidP="00AC76E8">
            <w:pPr>
              <w:rPr>
                <w:sz w:val="20"/>
                <w:szCs w:val="20"/>
              </w:rPr>
            </w:pPr>
            <w:r w:rsidRPr="005B38E5">
              <w:rPr>
                <w:sz w:val="20"/>
                <w:szCs w:val="20"/>
              </w:rPr>
              <w:t xml:space="preserve">KHV na svém jednání vydá Vyjádření k návrhu programu/skupiny grantových projektů a v návaznosti na to </w:t>
            </w:r>
            <w:r>
              <w:rPr>
                <w:sz w:val="20"/>
                <w:szCs w:val="20"/>
              </w:rPr>
              <w:t>v</w:t>
            </w:r>
            <w:r w:rsidRPr="00140FDB">
              <w:rPr>
                <w:sz w:val="20"/>
                <w:szCs w:val="20"/>
              </w:rPr>
              <w:t xml:space="preserve">ěcně příslušný útvar ÚV </w:t>
            </w:r>
            <w:r w:rsidRPr="005B38E5">
              <w:rPr>
                <w:sz w:val="20"/>
                <w:szCs w:val="20"/>
              </w:rPr>
              <w:t>dokončí návrh stanoviska RVVI pro předložení na zasedání RVVI, následně je kompletní materiál na zasedání RVVI předložen předsednictvu RVVI a posléze rozeslán členům RVVI.</w:t>
            </w:r>
          </w:p>
        </w:tc>
      </w:tr>
      <w:tr w:rsidR="00FF2492" w14:paraId="5381B5B3" w14:textId="77777777" w:rsidTr="00AC76E8">
        <w:tc>
          <w:tcPr>
            <w:tcW w:w="452" w:type="dxa"/>
          </w:tcPr>
          <w:p w14:paraId="17E97C25" w14:textId="77777777" w:rsidR="00FF2492" w:rsidRPr="005B38E5" w:rsidRDefault="00FF2492" w:rsidP="00AC76E8">
            <w:pPr>
              <w:jc w:val="center"/>
              <w:rPr>
                <w:sz w:val="20"/>
                <w:szCs w:val="20"/>
              </w:rPr>
            </w:pPr>
            <w:r w:rsidRPr="005B38E5">
              <w:rPr>
                <w:sz w:val="20"/>
                <w:szCs w:val="20"/>
              </w:rPr>
              <w:t>4</w:t>
            </w:r>
          </w:p>
        </w:tc>
        <w:tc>
          <w:tcPr>
            <w:tcW w:w="2529" w:type="dxa"/>
          </w:tcPr>
          <w:p w14:paraId="734C5508" w14:textId="77777777" w:rsidR="00FF2492" w:rsidRPr="005B38E5" w:rsidRDefault="00FF2492" w:rsidP="00AC76E8">
            <w:pPr>
              <w:rPr>
                <w:sz w:val="20"/>
                <w:szCs w:val="20"/>
              </w:rPr>
            </w:pPr>
            <w:r w:rsidRPr="005B38E5">
              <w:rPr>
                <w:sz w:val="20"/>
                <w:szCs w:val="20"/>
              </w:rPr>
              <w:t>Konec ledna X-1</w:t>
            </w:r>
          </w:p>
        </w:tc>
        <w:tc>
          <w:tcPr>
            <w:tcW w:w="6081" w:type="dxa"/>
          </w:tcPr>
          <w:p w14:paraId="5266F995" w14:textId="0B140991" w:rsidR="00FF2492" w:rsidRPr="005B38E5" w:rsidRDefault="00FF2492" w:rsidP="00AC76E8">
            <w:pPr>
              <w:rPr>
                <w:sz w:val="20"/>
                <w:szCs w:val="20"/>
              </w:rPr>
            </w:pPr>
            <w:r w:rsidRPr="005B38E5">
              <w:rPr>
                <w:sz w:val="20"/>
                <w:szCs w:val="20"/>
              </w:rPr>
              <w:t xml:space="preserve">Projednání návrhu </w:t>
            </w:r>
            <w:r>
              <w:rPr>
                <w:sz w:val="20"/>
                <w:szCs w:val="20"/>
              </w:rPr>
              <w:t>S</w:t>
            </w:r>
            <w:r w:rsidRPr="005B38E5">
              <w:rPr>
                <w:sz w:val="20"/>
                <w:szCs w:val="20"/>
              </w:rPr>
              <w:t>tanoviska na zasedání RVVI a jeho schválení. Po</w:t>
            </w:r>
            <w:r w:rsidR="00804D9A">
              <w:rPr>
                <w:sz w:val="20"/>
                <w:szCs w:val="20"/>
              </w:rPr>
              <w:t> </w:t>
            </w:r>
            <w:r w:rsidRPr="005B38E5">
              <w:rPr>
                <w:sz w:val="20"/>
                <w:szCs w:val="20"/>
              </w:rPr>
              <w:t xml:space="preserve">třech pracovních dnech od zasedání RVVI je </w:t>
            </w:r>
            <w:r>
              <w:rPr>
                <w:sz w:val="20"/>
                <w:szCs w:val="20"/>
              </w:rPr>
              <w:t>S</w:t>
            </w:r>
            <w:r w:rsidRPr="005B38E5">
              <w:rPr>
                <w:sz w:val="20"/>
                <w:szCs w:val="20"/>
              </w:rPr>
              <w:t>tanovisko</w:t>
            </w:r>
            <w:r>
              <w:rPr>
                <w:sz w:val="20"/>
                <w:szCs w:val="20"/>
              </w:rPr>
              <w:t xml:space="preserve"> RVVI</w:t>
            </w:r>
            <w:r w:rsidRPr="005B38E5">
              <w:rPr>
                <w:sz w:val="20"/>
                <w:szCs w:val="20"/>
              </w:rPr>
              <w:t xml:space="preserve"> odesláno poskytovateli. V případě připomínek RVVI dochází k jejich vypořádání.</w:t>
            </w:r>
          </w:p>
        </w:tc>
      </w:tr>
      <w:tr w:rsidR="00FF2492" w14:paraId="09CE756B" w14:textId="77777777" w:rsidTr="00AC76E8">
        <w:tc>
          <w:tcPr>
            <w:tcW w:w="452" w:type="dxa"/>
          </w:tcPr>
          <w:p w14:paraId="3224756F" w14:textId="77777777" w:rsidR="00FF2492" w:rsidRPr="005B38E5" w:rsidRDefault="00FF2492" w:rsidP="00AC76E8">
            <w:pPr>
              <w:jc w:val="center"/>
              <w:rPr>
                <w:sz w:val="20"/>
                <w:szCs w:val="20"/>
              </w:rPr>
            </w:pPr>
            <w:r w:rsidRPr="005B38E5">
              <w:rPr>
                <w:sz w:val="20"/>
                <w:szCs w:val="20"/>
              </w:rPr>
              <w:t>5</w:t>
            </w:r>
          </w:p>
        </w:tc>
        <w:tc>
          <w:tcPr>
            <w:tcW w:w="2529" w:type="dxa"/>
          </w:tcPr>
          <w:p w14:paraId="3BBA0242" w14:textId="77777777" w:rsidR="00FF2492" w:rsidRPr="005B38E5" w:rsidRDefault="00FF2492" w:rsidP="00AC76E8">
            <w:pPr>
              <w:rPr>
                <w:sz w:val="20"/>
                <w:szCs w:val="20"/>
              </w:rPr>
            </w:pPr>
            <w:r w:rsidRPr="005B38E5">
              <w:rPr>
                <w:sz w:val="20"/>
                <w:szCs w:val="20"/>
              </w:rPr>
              <w:t>Začátek února X-1</w:t>
            </w:r>
          </w:p>
        </w:tc>
        <w:tc>
          <w:tcPr>
            <w:tcW w:w="6081" w:type="dxa"/>
          </w:tcPr>
          <w:p w14:paraId="69F57D22" w14:textId="77777777" w:rsidR="00FF2492" w:rsidRPr="005B38E5" w:rsidRDefault="00FF2492" w:rsidP="00AC76E8">
            <w:pPr>
              <w:rPr>
                <w:sz w:val="20"/>
                <w:szCs w:val="20"/>
              </w:rPr>
            </w:pPr>
            <w:r w:rsidRPr="005B38E5">
              <w:rPr>
                <w:sz w:val="20"/>
                <w:szCs w:val="20"/>
              </w:rPr>
              <w:t>Poskytovatel může vložit návrh programu/skupiny grantových projektů do meziresortního připomínkového řízení, po jeho skončení musí poskytovatel vypořádat připomínky a případně upravit navrhovaný program/skupinu grantových projektů, poté předloží program/skupinu grantových projektů ke schválení vládě.</w:t>
            </w:r>
          </w:p>
        </w:tc>
      </w:tr>
      <w:tr w:rsidR="00FF2492" w14:paraId="4F03EBDA" w14:textId="77777777" w:rsidTr="00AC76E8">
        <w:tc>
          <w:tcPr>
            <w:tcW w:w="452" w:type="dxa"/>
          </w:tcPr>
          <w:p w14:paraId="507B4B35" w14:textId="77777777" w:rsidR="00FF2492" w:rsidRPr="005B38E5" w:rsidRDefault="00FF2492" w:rsidP="00AC76E8">
            <w:pPr>
              <w:jc w:val="center"/>
              <w:rPr>
                <w:sz w:val="20"/>
                <w:szCs w:val="20"/>
              </w:rPr>
            </w:pPr>
            <w:r w:rsidRPr="005B38E5">
              <w:rPr>
                <w:sz w:val="20"/>
                <w:szCs w:val="20"/>
              </w:rPr>
              <w:t>6</w:t>
            </w:r>
          </w:p>
        </w:tc>
        <w:tc>
          <w:tcPr>
            <w:tcW w:w="2529" w:type="dxa"/>
          </w:tcPr>
          <w:p w14:paraId="25011915" w14:textId="77777777" w:rsidR="00FF2492" w:rsidRPr="005B38E5" w:rsidRDefault="00FF2492" w:rsidP="00AC76E8">
            <w:pPr>
              <w:rPr>
                <w:sz w:val="20"/>
                <w:szCs w:val="20"/>
              </w:rPr>
            </w:pPr>
            <w:r w:rsidRPr="005B38E5">
              <w:rPr>
                <w:sz w:val="20"/>
                <w:szCs w:val="20"/>
              </w:rPr>
              <w:t>Konec února / začátek března roku X-1</w:t>
            </w:r>
          </w:p>
        </w:tc>
        <w:tc>
          <w:tcPr>
            <w:tcW w:w="6081" w:type="dxa"/>
          </w:tcPr>
          <w:p w14:paraId="362BF287" w14:textId="77777777" w:rsidR="00FF2492" w:rsidRPr="005B38E5" w:rsidRDefault="00FF2492" w:rsidP="00AC76E8">
            <w:pPr>
              <w:rPr>
                <w:sz w:val="20"/>
                <w:szCs w:val="20"/>
              </w:rPr>
            </w:pPr>
            <w:r w:rsidRPr="005B38E5">
              <w:rPr>
                <w:sz w:val="20"/>
                <w:szCs w:val="20"/>
              </w:rPr>
              <w:t>Program/skupina grantových projektů schválený vládou.</w:t>
            </w:r>
          </w:p>
        </w:tc>
      </w:tr>
      <w:tr w:rsidR="00FF2492" w14:paraId="27CEA3A2" w14:textId="77777777" w:rsidTr="00AC76E8">
        <w:tc>
          <w:tcPr>
            <w:tcW w:w="452" w:type="dxa"/>
          </w:tcPr>
          <w:p w14:paraId="647BD69F" w14:textId="77777777" w:rsidR="00FF2492" w:rsidRPr="005B38E5" w:rsidRDefault="00FF2492" w:rsidP="00AC76E8">
            <w:pPr>
              <w:jc w:val="center"/>
              <w:rPr>
                <w:sz w:val="20"/>
                <w:szCs w:val="20"/>
              </w:rPr>
            </w:pPr>
            <w:r w:rsidRPr="005B38E5">
              <w:rPr>
                <w:sz w:val="20"/>
                <w:szCs w:val="20"/>
              </w:rPr>
              <w:t>7</w:t>
            </w:r>
          </w:p>
        </w:tc>
        <w:tc>
          <w:tcPr>
            <w:tcW w:w="2529" w:type="dxa"/>
          </w:tcPr>
          <w:p w14:paraId="7DE57616" w14:textId="77777777" w:rsidR="00FF2492" w:rsidRPr="005B38E5" w:rsidRDefault="00FF2492" w:rsidP="00AC76E8">
            <w:pPr>
              <w:rPr>
                <w:sz w:val="20"/>
                <w:szCs w:val="20"/>
              </w:rPr>
            </w:pPr>
            <w:r w:rsidRPr="005B38E5">
              <w:rPr>
                <w:sz w:val="20"/>
                <w:szCs w:val="20"/>
              </w:rPr>
              <w:t>Konec března roku X-1</w:t>
            </w:r>
          </w:p>
        </w:tc>
        <w:tc>
          <w:tcPr>
            <w:tcW w:w="6081" w:type="dxa"/>
          </w:tcPr>
          <w:p w14:paraId="66F03282" w14:textId="3547DF75" w:rsidR="00FF2492" w:rsidRPr="005B38E5" w:rsidRDefault="00FF2492" w:rsidP="00AC76E8">
            <w:pPr>
              <w:rPr>
                <w:sz w:val="20"/>
                <w:szCs w:val="20"/>
              </w:rPr>
            </w:pPr>
            <w:r w:rsidRPr="005B38E5">
              <w:rPr>
                <w:sz w:val="20"/>
                <w:szCs w:val="20"/>
              </w:rPr>
              <w:t xml:space="preserve">Schvalování rozpočtu </w:t>
            </w:r>
            <w:r w:rsidR="008D0BE1">
              <w:rPr>
                <w:sz w:val="20"/>
                <w:szCs w:val="20"/>
              </w:rPr>
              <w:t>VVI</w:t>
            </w:r>
            <w:r w:rsidRPr="005B38E5">
              <w:rPr>
                <w:sz w:val="20"/>
                <w:szCs w:val="20"/>
              </w:rPr>
              <w:t xml:space="preserve"> pro předložení do MPŘ, kdy musí být zahrnut daný program/skupinu grantových projektů do návrhu rozpočtu RVVI na rok X.</w:t>
            </w:r>
          </w:p>
        </w:tc>
      </w:tr>
      <w:tr w:rsidR="00FF2492" w14:paraId="059E8C49" w14:textId="77777777" w:rsidTr="0077493A">
        <w:trPr>
          <w:trHeight w:val="561"/>
        </w:trPr>
        <w:tc>
          <w:tcPr>
            <w:tcW w:w="452" w:type="dxa"/>
          </w:tcPr>
          <w:p w14:paraId="3D6841BD" w14:textId="77777777" w:rsidR="00FF2492" w:rsidRPr="005B38E5" w:rsidRDefault="00FF2492" w:rsidP="00AC76E8">
            <w:pPr>
              <w:jc w:val="center"/>
              <w:rPr>
                <w:sz w:val="20"/>
                <w:szCs w:val="20"/>
              </w:rPr>
            </w:pPr>
            <w:r w:rsidRPr="005B38E5">
              <w:rPr>
                <w:sz w:val="20"/>
                <w:szCs w:val="20"/>
              </w:rPr>
              <w:t>8</w:t>
            </w:r>
          </w:p>
        </w:tc>
        <w:tc>
          <w:tcPr>
            <w:tcW w:w="2529" w:type="dxa"/>
          </w:tcPr>
          <w:p w14:paraId="63AEB8DD" w14:textId="77777777" w:rsidR="00FF2492" w:rsidRPr="005B38E5" w:rsidRDefault="00FF2492" w:rsidP="00AC76E8">
            <w:pPr>
              <w:rPr>
                <w:sz w:val="20"/>
                <w:szCs w:val="20"/>
              </w:rPr>
            </w:pPr>
            <w:r w:rsidRPr="005B38E5">
              <w:rPr>
                <w:sz w:val="20"/>
                <w:szCs w:val="20"/>
              </w:rPr>
              <w:t>Duben roku X-1</w:t>
            </w:r>
          </w:p>
        </w:tc>
        <w:tc>
          <w:tcPr>
            <w:tcW w:w="6081" w:type="dxa"/>
          </w:tcPr>
          <w:p w14:paraId="0E559E17" w14:textId="01767465" w:rsidR="00FF2492" w:rsidRPr="005B38E5" w:rsidRDefault="00FF2492" w:rsidP="0077493A">
            <w:pPr>
              <w:tabs>
                <w:tab w:val="left" w:pos="311"/>
              </w:tabs>
              <w:rPr>
                <w:sz w:val="20"/>
                <w:szCs w:val="20"/>
              </w:rPr>
            </w:pPr>
            <w:r w:rsidRPr="005B38E5">
              <w:rPr>
                <w:sz w:val="20"/>
                <w:szCs w:val="20"/>
              </w:rPr>
              <w:t xml:space="preserve">Na konci dubna pak </w:t>
            </w:r>
            <w:r w:rsidRPr="005B38E5">
              <w:rPr>
                <w:b/>
                <w:sz w:val="20"/>
                <w:szCs w:val="20"/>
              </w:rPr>
              <w:t>RVVI schválí finální návrh rozpočtu</w:t>
            </w:r>
            <w:r w:rsidRPr="005B38E5">
              <w:rPr>
                <w:sz w:val="20"/>
                <w:szCs w:val="20"/>
              </w:rPr>
              <w:t xml:space="preserve"> </w:t>
            </w:r>
            <w:r w:rsidR="008D0BE1">
              <w:rPr>
                <w:sz w:val="20"/>
                <w:szCs w:val="20"/>
              </w:rPr>
              <w:t>VVI</w:t>
            </w:r>
            <w:r w:rsidRPr="005B38E5">
              <w:rPr>
                <w:sz w:val="20"/>
                <w:szCs w:val="20"/>
              </w:rPr>
              <w:t>, včetně vypořádání připomínek a tento návrh je předložen vládě ke schválení.</w:t>
            </w:r>
          </w:p>
        </w:tc>
      </w:tr>
      <w:tr w:rsidR="00FF2492" w14:paraId="05EC36CF" w14:textId="77777777" w:rsidTr="00AC76E8">
        <w:tc>
          <w:tcPr>
            <w:tcW w:w="452" w:type="dxa"/>
          </w:tcPr>
          <w:p w14:paraId="2E787B47" w14:textId="77777777" w:rsidR="00FF2492" w:rsidRPr="005B38E5" w:rsidRDefault="00FF2492" w:rsidP="00AC76E8">
            <w:pPr>
              <w:jc w:val="center"/>
              <w:rPr>
                <w:sz w:val="20"/>
                <w:szCs w:val="20"/>
              </w:rPr>
            </w:pPr>
            <w:r w:rsidRPr="005B38E5">
              <w:rPr>
                <w:sz w:val="20"/>
                <w:szCs w:val="20"/>
              </w:rPr>
              <w:t>9</w:t>
            </w:r>
          </w:p>
        </w:tc>
        <w:tc>
          <w:tcPr>
            <w:tcW w:w="2529" w:type="dxa"/>
          </w:tcPr>
          <w:p w14:paraId="5F1E1374" w14:textId="77777777" w:rsidR="00FF2492" w:rsidRPr="005B38E5" w:rsidRDefault="00FF2492" w:rsidP="00AC76E8">
            <w:pPr>
              <w:rPr>
                <w:sz w:val="20"/>
                <w:szCs w:val="20"/>
              </w:rPr>
            </w:pPr>
            <w:r w:rsidRPr="005B38E5">
              <w:rPr>
                <w:sz w:val="20"/>
                <w:szCs w:val="20"/>
              </w:rPr>
              <w:t>Květen roku X-1</w:t>
            </w:r>
          </w:p>
        </w:tc>
        <w:tc>
          <w:tcPr>
            <w:tcW w:w="6081" w:type="dxa"/>
          </w:tcPr>
          <w:p w14:paraId="1FDD3FFB" w14:textId="57069151" w:rsidR="00FF2492" w:rsidRPr="005B38E5" w:rsidRDefault="00FF2492" w:rsidP="00AC76E8">
            <w:pPr>
              <w:tabs>
                <w:tab w:val="left" w:pos="311"/>
              </w:tabs>
              <w:rPr>
                <w:sz w:val="20"/>
                <w:szCs w:val="20"/>
              </w:rPr>
            </w:pPr>
            <w:r w:rsidRPr="005B38E5">
              <w:rPr>
                <w:sz w:val="20"/>
                <w:szCs w:val="20"/>
              </w:rPr>
              <w:t xml:space="preserve">Dle zákona č. 130/2002 Sb. je nutné předložit vládě </w:t>
            </w:r>
            <w:r w:rsidRPr="005B38E5">
              <w:rPr>
                <w:b/>
                <w:sz w:val="20"/>
                <w:szCs w:val="20"/>
              </w:rPr>
              <w:t>návrh rozpočtu</w:t>
            </w:r>
            <w:r w:rsidRPr="005B38E5">
              <w:rPr>
                <w:sz w:val="20"/>
                <w:szCs w:val="20"/>
              </w:rPr>
              <w:t xml:space="preserve"> </w:t>
            </w:r>
            <w:r w:rsidR="008D0BE1">
              <w:rPr>
                <w:sz w:val="20"/>
                <w:szCs w:val="20"/>
              </w:rPr>
              <w:t>VVI</w:t>
            </w:r>
            <w:r w:rsidRPr="005B38E5">
              <w:rPr>
                <w:sz w:val="20"/>
                <w:szCs w:val="20"/>
              </w:rPr>
              <w:t xml:space="preserve"> a vláda tento schvaluje.</w:t>
            </w:r>
          </w:p>
        </w:tc>
      </w:tr>
      <w:tr w:rsidR="00FF2492" w14:paraId="36F6D02B" w14:textId="77777777" w:rsidTr="00AC76E8">
        <w:tc>
          <w:tcPr>
            <w:tcW w:w="452" w:type="dxa"/>
          </w:tcPr>
          <w:p w14:paraId="51FF66A2" w14:textId="77777777" w:rsidR="00FF2492" w:rsidRPr="005B38E5" w:rsidRDefault="00FF2492" w:rsidP="00AC76E8">
            <w:pPr>
              <w:jc w:val="center"/>
              <w:rPr>
                <w:sz w:val="20"/>
                <w:szCs w:val="20"/>
              </w:rPr>
            </w:pPr>
            <w:r w:rsidRPr="005B38E5">
              <w:rPr>
                <w:sz w:val="20"/>
                <w:szCs w:val="20"/>
              </w:rPr>
              <w:t>10</w:t>
            </w:r>
          </w:p>
        </w:tc>
        <w:tc>
          <w:tcPr>
            <w:tcW w:w="2529" w:type="dxa"/>
          </w:tcPr>
          <w:p w14:paraId="4E1140F9" w14:textId="77777777" w:rsidR="00FF2492" w:rsidRPr="005B38E5" w:rsidRDefault="00FF2492" w:rsidP="00AC76E8">
            <w:pPr>
              <w:rPr>
                <w:sz w:val="20"/>
                <w:szCs w:val="20"/>
              </w:rPr>
            </w:pPr>
            <w:r w:rsidRPr="005B38E5">
              <w:rPr>
                <w:sz w:val="20"/>
                <w:szCs w:val="20"/>
              </w:rPr>
              <w:t>Září roku X-1</w:t>
            </w:r>
          </w:p>
        </w:tc>
        <w:tc>
          <w:tcPr>
            <w:tcW w:w="6081" w:type="dxa"/>
          </w:tcPr>
          <w:p w14:paraId="06F66E6C" w14:textId="77777777" w:rsidR="00FF2492" w:rsidRPr="005B38E5" w:rsidRDefault="00FF2492" w:rsidP="00AC76E8">
            <w:pPr>
              <w:rPr>
                <w:sz w:val="20"/>
                <w:szCs w:val="20"/>
              </w:rPr>
            </w:pPr>
            <w:r w:rsidRPr="005B38E5">
              <w:rPr>
                <w:sz w:val="20"/>
                <w:szCs w:val="20"/>
              </w:rPr>
              <w:t xml:space="preserve">Schválen vládní návrh zákona o státním rozpočtu na rok X včetně střednědobého výhledu na roky X+1 a X+2. Pozn. finálně je rozpočet na rok X garantován až zákonem o státním rozpočtu v prosinci X-1. </w:t>
            </w:r>
          </w:p>
        </w:tc>
      </w:tr>
      <w:tr w:rsidR="00FF2492" w14:paraId="5F2C8D37" w14:textId="77777777" w:rsidTr="00AC76E8">
        <w:tc>
          <w:tcPr>
            <w:tcW w:w="452" w:type="dxa"/>
          </w:tcPr>
          <w:p w14:paraId="359CDE88" w14:textId="77777777" w:rsidR="00FF2492" w:rsidRPr="005B38E5" w:rsidRDefault="00FF2492" w:rsidP="00AC76E8">
            <w:pPr>
              <w:jc w:val="center"/>
              <w:rPr>
                <w:sz w:val="20"/>
                <w:szCs w:val="20"/>
              </w:rPr>
            </w:pPr>
            <w:r w:rsidRPr="005B38E5">
              <w:rPr>
                <w:sz w:val="20"/>
                <w:szCs w:val="20"/>
              </w:rPr>
              <w:t>11</w:t>
            </w:r>
          </w:p>
        </w:tc>
        <w:tc>
          <w:tcPr>
            <w:tcW w:w="2529" w:type="dxa"/>
          </w:tcPr>
          <w:p w14:paraId="5E11EA3C" w14:textId="77777777" w:rsidR="00FF2492" w:rsidRPr="005B38E5" w:rsidRDefault="00FF2492" w:rsidP="00AC76E8">
            <w:pPr>
              <w:rPr>
                <w:sz w:val="20"/>
                <w:szCs w:val="20"/>
              </w:rPr>
            </w:pPr>
            <w:r w:rsidRPr="005B38E5">
              <w:rPr>
                <w:sz w:val="20"/>
                <w:szCs w:val="20"/>
              </w:rPr>
              <w:t>Rok X</w:t>
            </w:r>
          </w:p>
        </w:tc>
        <w:tc>
          <w:tcPr>
            <w:tcW w:w="6081" w:type="dxa"/>
          </w:tcPr>
          <w:p w14:paraId="7053F009" w14:textId="77777777" w:rsidR="00FF2492" w:rsidRPr="005B38E5" w:rsidRDefault="00FF2492" w:rsidP="00AC76E8">
            <w:pPr>
              <w:rPr>
                <w:sz w:val="20"/>
                <w:szCs w:val="20"/>
              </w:rPr>
            </w:pPr>
            <w:r w:rsidRPr="005B38E5">
              <w:rPr>
                <w:sz w:val="20"/>
                <w:szCs w:val="20"/>
              </w:rPr>
              <w:t>Poskytovatel může zahájit financování v rámci schváleného programu/skupiny grantových projektů.</w:t>
            </w:r>
          </w:p>
        </w:tc>
      </w:tr>
    </w:tbl>
    <w:p w14:paraId="41EC5035" w14:textId="113C92B8" w:rsidR="00FF2492" w:rsidRDefault="00FF2492"/>
    <w:p w14:paraId="5BD5490D" w14:textId="03D02EFF" w:rsidR="0075464F" w:rsidRDefault="0075464F"/>
    <w:p w14:paraId="64A7B145" w14:textId="09B4C29B" w:rsidR="0075464F" w:rsidRDefault="0075464F"/>
    <w:p w14:paraId="769A58DF" w14:textId="2EA1D20C" w:rsidR="0075464F" w:rsidRDefault="0075464F"/>
    <w:p w14:paraId="1103E842" w14:textId="3F588F1A" w:rsidR="0075464F" w:rsidRDefault="0075464F"/>
    <w:p w14:paraId="4376C039" w14:textId="266504BE" w:rsidR="0075464F" w:rsidRDefault="0075464F"/>
    <w:p w14:paraId="013A99D1" w14:textId="329A1F01" w:rsidR="0075464F" w:rsidRDefault="0075464F"/>
    <w:p w14:paraId="2BD96672" w14:textId="77777777" w:rsidR="0075464F" w:rsidRDefault="0075464F" w:rsidP="007F5475">
      <w:pPr>
        <w:pStyle w:val="Nadpis2"/>
        <w:numPr>
          <w:ilvl w:val="1"/>
          <w:numId w:val="19"/>
        </w:numPr>
        <w:ind w:left="718"/>
      </w:pPr>
      <w:bookmarkStart w:id="76" w:name="_Toc195184965"/>
      <w:r>
        <w:t>Přehled následných</w:t>
      </w:r>
      <w:r w:rsidRPr="0048339C">
        <w:t xml:space="preserve"> opatření</w:t>
      </w:r>
      <w:bookmarkEnd w:id="76"/>
    </w:p>
    <w:p w14:paraId="4E3BDAC9" w14:textId="77777777" w:rsidR="0075464F" w:rsidRDefault="0075464F" w:rsidP="0075464F"/>
    <w:p w14:paraId="694533C6" w14:textId="68B63EBD" w:rsidR="0075464F" w:rsidRPr="00CC46E0" w:rsidRDefault="0075464F" w:rsidP="0075464F">
      <w:pPr>
        <w:jc w:val="both"/>
        <w:rPr>
          <w:b/>
        </w:rPr>
      </w:pPr>
      <w:r w:rsidRPr="00CC46E0">
        <w:rPr>
          <w:b/>
        </w:rPr>
        <w:t xml:space="preserve">Doporučení vzešlá z jednání platformy pro vypracování metodického pokynu pro harmonizaci metodického prostředí pro poskytování účelové podpory </w:t>
      </w:r>
      <w:r w:rsidR="008D0BE1">
        <w:rPr>
          <w:b/>
        </w:rPr>
        <w:t>VVI</w:t>
      </w:r>
      <w:r w:rsidR="00CC46E0">
        <w:rPr>
          <w:b/>
        </w:rPr>
        <w:t>.</w:t>
      </w:r>
    </w:p>
    <w:p w14:paraId="5941162F" w14:textId="1C5805AD" w:rsidR="008220E6" w:rsidRDefault="0075464F" w:rsidP="0075464F">
      <w:pPr>
        <w:jc w:val="both"/>
        <w:rPr>
          <w:rFonts w:ascii="Calibri" w:hAnsi="Calibri" w:cs="Calibri"/>
        </w:rPr>
      </w:pPr>
      <w:r w:rsidRPr="00F12187">
        <w:rPr>
          <w:rFonts w:ascii="Calibri" w:hAnsi="Calibri" w:cs="Calibri"/>
        </w:rPr>
        <w:t xml:space="preserve">Doporučení jsou strukturována podle </w:t>
      </w:r>
      <w:r>
        <w:rPr>
          <w:rFonts w:ascii="Calibri" w:hAnsi="Calibri" w:cs="Calibri"/>
        </w:rPr>
        <w:t>časových možností jejich realizace.</w:t>
      </w:r>
    </w:p>
    <w:p w14:paraId="242B278E" w14:textId="1ABFAD89" w:rsidR="008220E6" w:rsidRPr="00804D9A" w:rsidRDefault="000449F1" w:rsidP="0075464F">
      <w:pPr>
        <w:jc w:val="both"/>
        <w:rPr>
          <w:b/>
          <w:bCs/>
        </w:rPr>
      </w:pPr>
      <w:r w:rsidRPr="004F7F91">
        <w:rPr>
          <w:rFonts w:ascii="Calibri" w:hAnsi="Calibri" w:cs="Calibri"/>
        </w:rPr>
        <w:t xml:space="preserve">I. </w:t>
      </w:r>
      <w:r w:rsidRPr="003C660B">
        <w:rPr>
          <w:rFonts w:ascii="Calibri" w:hAnsi="Calibri" w:cs="Calibri"/>
        </w:rPr>
        <w:t>V </w:t>
      </w:r>
      <w:r w:rsidR="003C660B">
        <w:rPr>
          <w:rFonts w:ascii="Calibri" w:hAnsi="Calibri" w:cs="Calibri"/>
        </w:rPr>
        <w:t>první části</w:t>
      </w:r>
      <w:r w:rsidRPr="004F7F91">
        <w:rPr>
          <w:rFonts w:ascii="Calibri" w:hAnsi="Calibri" w:cs="Calibri"/>
        </w:rPr>
        <w:t xml:space="preserve"> jsou uvedena doporučení, která byla využita zejména</w:t>
      </w:r>
      <w:r>
        <w:rPr>
          <w:rFonts w:ascii="Calibri" w:hAnsi="Calibri" w:cs="Calibri"/>
        </w:rPr>
        <w:t xml:space="preserve"> </w:t>
      </w:r>
      <w:r w:rsidRPr="004F7F91">
        <w:rPr>
          <w:rFonts w:ascii="Calibri" w:hAnsi="Calibri" w:cs="Calibri"/>
        </w:rPr>
        <w:t>pro zpracování „</w:t>
      </w:r>
      <w:r w:rsidR="00221BE4">
        <w:rPr>
          <w:bCs/>
        </w:rPr>
        <w:t>Zásad</w:t>
      </w:r>
      <w:r w:rsidRPr="004F7F91">
        <w:rPr>
          <w:bCs/>
        </w:rPr>
        <w:t xml:space="preserve"> přípravy a hodnocení programů účelové podpory výzkumu, vývoje a inovací a skupin grantových proj</w:t>
      </w:r>
      <w:r>
        <w:rPr>
          <w:bCs/>
        </w:rPr>
        <w:t>ektů a jejich dopadů“ a MP</w:t>
      </w:r>
      <w:r w:rsidRPr="004F7F91">
        <w:rPr>
          <w:bCs/>
        </w:rPr>
        <w:t>.</w:t>
      </w:r>
    </w:p>
    <w:tbl>
      <w:tblPr>
        <w:tblStyle w:val="Mkatabulky"/>
        <w:tblW w:w="9776" w:type="dxa"/>
        <w:tblBorders>
          <w:insideH w:val="single" w:sz="6" w:space="0" w:color="auto"/>
          <w:insideV w:val="single" w:sz="6" w:space="0" w:color="auto"/>
        </w:tblBorders>
        <w:shd w:val="pct5" w:color="auto" w:fill="85EC08"/>
        <w:tblLook w:val="04A0" w:firstRow="1" w:lastRow="0" w:firstColumn="1" w:lastColumn="0" w:noHBand="0" w:noVBand="1"/>
      </w:tblPr>
      <w:tblGrid>
        <w:gridCol w:w="2122"/>
        <w:gridCol w:w="3118"/>
        <w:gridCol w:w="1418"/>
        <w:gridCol w:w="3118"/>
      </w:tblGrid>
      <w:tr w:rsidR="008220E6" w:rsidRPr="00C5798B" w14:paraId="557CE0DF" w14:textId="77777777" w:rsidTr="003C660B">
        <w:tc>
          <w:tcPr>
            <w:tcW w:w="2122" w:type="dxa"/>
            <w:tcBorders>
              <w:bottom w:val="single" w:sz="6" w:space="0" w:color="auto"/>
            </w:tcBorders>
            <w:shd w:val="clear" w:color="auto" w:fill="FFFFFF" w:themeFill="background1"/>
          </w:tcPr>
          <w:p w14:paraId="503700AB" w14:textId="77777777" w:rsidR="008220E6" w:rsidRPr="003C660B" w:rsidRDefault="008220E6" w:rsidP="00B764E8">
            <w:pPr>
              <w:rPr>
                <w:rFonts w:ascii="Calibri" w:hAnsi="Calibri" w:cs="Calibri"/>
                <w:i/>
                <w:iCs/>
              </w:rPr>
            </w:pPr>
            <w:r w:rsidRPr="003C660B">
              <w:rPr>
                <w:rFonts w:ascii="Calibri" w:hAnsi="Calibri" w:cs="Calibri"/>
                <w:b/>
                <w:bCs/>
              </w:rPr>
              <w:t>Téma</w:t>
            </w:r>
          </w:p>
        </w:tc>
        <w:tc>
          <w:tcPr>
            <w:tcW w:w="3118" w:type="dxa"/>
            <w:tcBorders>
              <w:bottom w:val="single" w:sz="6" w:space="0" w:color="auto"/>
            </w:tcBorders>
            <w:shd w:val="clear" w:color="auto" w:fill="FFFFFF" w:themeFill="background1"/>
          </w:tcPr>
          <w:p w14:paraId="69218127" w14:textId="77777777" w:rsidR="008220E6" w:rsidRPr="003C660B" w:rsidRDefault="008220E6" w:rsidP="00B764E8">
            <w:pPr>
              <w:jc w:val="both"/>
              <w:rPr>
                <w:rFonts w:ascii="Calibri" w:hAnsi="Calibri" w:cs="Calibri"/>
              </w:rPr>
            </w:pPr>
            <w:r w:rsidRPr="003C660B">
              <w:rPr>
                <w:rFonts w:ascii="Calibri" w:hAnsi="Calibri" w:cs="Calibri"/>
                <w:b/>
                <w:bCs/>
              </w:rPr>
              <w:t>Doporučení</w:t>
            </w:r>
          </w:p>
        </w:tc>
        <w:tc>
          <w:tcPr>
            <w:tcW w:w="1418" w:type="dxa"/>
            <w:tcBorders>
              <w:bottom w:val="single" w:sz="6" w:space="0" w:color="auto"/>
            </w:tcBorders>
            <w:shd w:val="clear" w:color="auto" w:fill="FFFFFF" w:themeFill="background1"/>
          </w:tcPr>
          <w:p w14:paraId="456497A0" w14:textId="77777777" w:rsidR="008220E6" w:rsidRPr="003C660B" w:rsidRDefault="008220E6" w:rsidP="00B764E8">
            <w:pPr>
              <w:jc w:val="both"/>
              <w:rPr>
                <w:rFonts w:ascii="Calibri" w:hAnsi="Calibri" w:cs="Calibri"/>
              </w:rPr>
            </w:pPr>
            <w:r w:rsidRPr="003C660B">
              <w:rPr>
                <w:rFonts w:ascii="Calibri" w:hAnsi="Calibri" w:cs="Calibri"/>
                <w:b/>
                <w:bCs/>
              </w:rPr>
              <w:t>Adresát doporučení</w:t>
            </w:r>
          </w:p>
        </w:tc>
        <w:tc>
          <w:tcPr>
            <w:tcW w:w="3118" w:type="dxa"/>
            <w:tcBorders>
              <w:bottom w:val="single" w:sz="6" w:space="0" w:color="auto"/>
            </w:tcBorders>
            <w:shd w:val="clear" w:color="auto" w:fill="FFFFFF" w:themeFill="background1"/>
          </w:tcPr>
          <w:p w14:paraId="3F19A287" w14:textId="77777777" w:rsidR="008220E6" w:rsidRPr="00C5798B" w:rsidRDefault="008220E6" w:rsidP="00B764E8">
            <w:pPr>
              <w:jc w:val="both"/>
              <w:rPr>
                <w:rFonts w:ascii="Calibri" w:hAnsi="Calibri" w:cs="Calibri"/>
                <w:b/>
                <w:bCs/>
              </w:rPr>
            </w:pPr>
            <w:r w:rsidRPr="003C660B">
              <w:rPr>
                <w:rFonts w:ascii="Calibri" w:hAnsi="Calibri" w:cs="Calibri"/>
                <w:b/>
                <w:bCs/>
              </w:rPr>
              <w:t>Odkaz, kde a jak je doporučení využito</w:t>
            </w:r>
          </w:p>
        </w:tc>
      </w:tr>
      <w:tr w:rsidR="008220E6" w:rsidRPr="00C5798B" w14:paraId="525F9F6E" w14:textId="77777777" w:rsidTr="00B764E8">
        <w:tc>
          <w:tcPr>
            <w:tcW w:w="2122" w:type="dxa"/>
            <w:tcBorders>
              <w:top w:val="single" w:sz="6" w:space="0" w:color="auto"/>
              <w:bottom w:val="single" w:sz="6" w:space="0" w:color="auto"/>
            </w:tcBorders>
            <w:shd w:val="clear" w:color="92D050" w:fill="FFFFFF" w:themeFill="background1"/>
          </w:tcPr>
          <w:p w14:paraId="32CB9DF5" w14:textId="77777777" w:rsidR="008220E6" w:rsidRPr="00F911BA" w:rsidRDefault="008220E6" w:rsidP="00B764E8">
            <w:pPr>
              <w:rPr>
                <w:rFonts w:ascii="Calibri" w:hAnsi="Calibri" w:cs="Calibri"/>
                <w:i/>
                <w:iCs/>
              </w:rPr>
            </w:pPr>
            <w:r w:rsidRPr="00F911BA">
              <w:rPr>
                <w:rFonts w:ascii="Calibri" w:hAnsi="Calibri" w:cs="Calibri"/>
              </w:rPr>
              <w:t>Příprava programů</w:t>
            </w:r>
          </w:p>
        </w:tc>
        <w:tc>
          <w:tcPr>
            <w:tcW w:w="3118" w:type="dxa"/>
            <w:tcBorders>
              <w:top w:val="single" w:sz="6" w:space="0" w:color="auto"/>
              <w:bottom w:val="single" w:sz="6" w:space="0" w:color="auto"/>
            </w:tcBorders>
            <w:shd w:val="clear" w:color="92D050" w:fill="FFFFFF" w:themeFill="background1"/>
          </w:tcPr>
          <w:p w14:paraId="48779CC4" w14:textId="77777777" w:rsidR="008220E6" w:rsidRPr="00F911BA" w:rsidRDefault="008220E6" w:rsidP="00B764E8">
            <w:pPr>
              <w:jc w:val="both"/>
              <w:rPr>
                <w:rFonts w:ascii="Calibri" w:hAnsi="Calibri" w:cs="Calibri"/>
              </w:rPr>
            </w:pPr>
            <w:r w:rsidRPr="00F911BA">
              <w:rPr>
                <w:rFonts w:ascii="Calibri" w:hAnsi="Calibri" w:cs="Calibri"/>
              </w:rPr>
              <w:t xml:space="preserve">Vytvořit návodný dokument pro přípravu programu, viz </w:t>
            </w:r>
            <w:r>
              <w:rPr>
                <w:rFonts w:ascii="Calibri" w:hAnsi="Calibri" w:cs="Calibri"/>
              </w:rPr>
              <w:t>Zásady</w:t>
            </w:r>
            <w:r w:rsidRPr="00F911BA">
              <w:rPr>
                <w:rFonts w:ascii="Calibri" w:hAnsi="Calibri" w:cs="Calibri"/>
              </w:rPr>
              <w:t>.</w:t>
            </w:r>
          </w:p>
        </w:tc>
        <w:tc>
          <w:tcPr>
            <w:tcW w:w="1418" w:type="dxa"/>
            <w:tcBorders>
              <w:top w:val="single" w:sz="6" w:space="0" w:color="auto"/>
              <w:bottom w:val="single" w:sz="6" w:space="0" w:color="auto"/>
            </w:tcBorders>
            <w:shd w:val="clear" w:color="92D050" w:fill="FFFFFF" w:themeFill="background1"/>
          </w:tcPr>
          <w:p w14:paraId="2FC5E019" w14:textId="51762169"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5532F134" w14:textId="77777777" w:rsidR="008220E6" w:rsidRPr="00F911BA" w:rsidRDefault="008220E6" w:rsidP="00B764E8">
            <w:pPr>
              <w:rPr>
                <w:b/>
                <w:bCs/>
              </w:rPr>
            </w:pPr>
            <w:r w:rsidRPr="00F911BA">
              <w:rPr>
                <w:rFonts w:ascii="Calibri" w:hAnsi="Calibri" w:cs="Calibri"/>
              </w:rPr>
              <w:t>Viz „</w:t>
            </w:r>
            <w:r>
              <w:rPr>
                <w:bCs/>
              </w:rPr>
              <w:t>Zásady</w:t>
            </w:r>
            <w:r w:rsidRPr="00F911BA">
              <w:rPr>
                <w:bCs/>
              </w:rPr>
              <w:t xml:space="preserve"> přípravy a hodnocení programů účelové podpory výzkumu, vývoje a inovací a skupin grantových projektů a jejich dopadů“ (</w:t>
            </w:r>
            <w:r>
              <w:rPr>
                <w:bCs/>
              </w:rPr>
              <w:t>Zásady</w:t>
            </w:r>
            <w:r w:rsidRPr="00F911BA">
              <w:rPr>
                <w:bCs/>
              </w:rPr>
              <w:t>)</w:t>
            </w:r>
          </w:p>
          <w:p w14:paraId="1E5C34BB" w14:textId="77777777" w:rsidR="008220E6" w:rsidRPr="00F911BA" w:rsidRDefault="008220E6" w:rsidP="00B764E8">
            <w:pPr>
              <w:jc w:val="both"/>
              <w:rPr>
                <w:rFonts w:ascii="Calibri" w:hAnsi="Calibri" w:cs="Calibri"/>
              </w:rPr>
            </w:pPr>
          </w:p>
        </w:tc>
      </w:tr>
      <w:tr w:rsidR="008220E6" w:rsidRPr="00C5798B" w14:paraId="55CBFBAB" w14:textId="77777777" w:rsidTr="00B764E8">
        <w:tc>
          <w:tcPr>
            <w:tcW w:w="2122" w:type="dxa"/>
            <w:tcBorders>
              <w:top w:val="single" w:sz="6" w:space="0" w:color="auto"/>
              <w:bottom w:val="single" w:sz="6" w:space="0" w:color="auto"/>
            </w:tcBorders>
            <w:shd w:val="clear" w:color="92D050" w:fill="FFFFFF" w:themeFill="background1"/>
          </w:tcPr>
          <w:p w14:paraId="39743353" w14:textId="77777777" w:rsidR="008220E6" w:rsidRPr="00F911BA" w:rsidRDefault="008220E6" w:rsidP="00B764E8">
            <w:pPr>
              <w:jc w:val="both"/>
              <w:rPr>
                <w:rFonts w:ascii="Calibri" w:hAnsi="Calibri" w:cs="Calibri"/>
              </w:rPr>
            </w:pPr>
            <w:r w:rsidRPr="00F911BA">
              <w:rPr>
                <w:rFonts w:ascii="Calibri" w:hAnsi="Calibri" w:cs="Calibri"/>
              </w:rPr>
              <w:t>Metodická podpora</w:t>
            </w:r>
          </w:p>
        </w:tc>
        <w:tc>
          <w:tcPr>
            <w:tcW w:w="3118" w:type="dxa"/>
            <w:tcBorders>
              <w:top w:val="single" w:sz="6" w:space="0" w:color="auto"/>
              <w:bottom w:val="single" w:sz="6" w:space="0" w:color="auto"/>
            </w:tcBorders>
            <w:shd w:val="clear" w:color="92D050" w:fill="FFFFFF" w:themeFill="background1"/>
          </w:tcPr>
          <w:p w14:paraId="39E1D45D" w14:textId="77777777" w:rsidR="008220E6" w:rsidRPr="00F911BA" w:rsidRDefault="008220E6" w:rsidP="00B764E8">
            <w:pPr>
              <w:jc w:val="both"/>
              <w:rPr>
                <w:rFonts w:ascii="Calibri" w:hAnsi="Calibri" w:cs="Calibri"/>
              </w:rPr>
            </w:pPr>
            <w:r w:rsidRPr="00F911BA">
              <w:rPr>
                <w:rFonts w:ascii="Calibri" w:hAnsi="Calibri" w:cs="Calibri"/>
              </w:rPr>
              <w:t xml:space="preserve">Garance metodické podpory pro přípravu a realizaci programů a vytvoření principů pro všechny fáze cyklu programů účelové podpory. </w:t>
            </w:r>
            <w:r>
              <w:rPr>
                <w:rFonts w:ascii="Calibri" w:hAnsi="Calibri" w:cs="Calibri"/>
              </w:rPr>
              <w:t>Zásady</w:t>
            </w:r>
            <w:r w:rsidRPr="00F911BA">
              <w:rPr>
                <w:rFonts w:ascii="Calibri" w:hAnsi="Calibri" w:cs="Calibri"/>
              </w:rPr>
              <w:t xml:space="preserve"> budou mít podobu závazného dokumentu schváleného vládou.  </w:t>
            </w:r>
          </w:p>
        </w:tc>
        <w:tc>
          <w:tcPr>
            <w:tcW w:w="1418" w:type="dxa"/>
            <w:tcBorders>
              <w:top w:val="single" w:sz="6" w:space="0" w:color="auto"/>
              <w:bottom w:val="single" w:sz="6" w:space="0" w:color="auto"/>
            </w:tcBorders>
            <w:shd w:val="clear" w:color="92D050" w:fill="FFFFFF" w:themeFill="background1"/>
          </w:tcPr>
          <w:p w14:paraId="279CCC21" w14:textId="3BECA4AB"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454FC762" w14:textId="77777777" w:rsidR="008220E6" w:rsidRPr="00F911BA" w:rsidRDefault="008220E6" w:rsidP="003C660B">
            <w:pPr>
              <w:rPr>
                <w:rFonts w:ascii="Calibri" w:hAnsi="Calibri" w:cs="Calibri"/>
              </w:rPr>
            </w:pPr>
            <w:r w:rsidRPr="00F911BA">
              <w:rPr>
                <w:rFonts w:ascii="Calibri" w:hAnsi="Calibri" w:cs="Calibri"/>
              </w:rPr>
              <w:t xml:space="preserve">Viz </w:t>
            </w:r>
            <w:r>
              <w:rPr>
                <w:rFonts w:ascii="Calibri" w:hAnsi="Calibri" w:cs="Calibri"/>
              </w:rPr>
              <w:t>Zásady</w:t>
            </w:r>
          </w:p>
          <w:p w14:paraId="20A0D9B0" w14:textId="1C4E2469" w:rsidR="008220E6" w:rsidRPr="00F911BA" w:rsidRDefault="008220E6" w:rsidP="003C660B">
            <w:pPr>
              <w:rPr>
                <w:rFonts w:ascii="Calibri" w:hAnsi="Calibri" w:cs="Calibri"/>
              </w:rPr>
            </w:pPr>
            <w:r>
              <w:rPr>
                <w:rFonts w:ascii="Calibri" w:hAnsi="Calibri" w:cs="Calibri"/>
              </w:rPr>
              <w:t xml:space="preserve">Viz kap. 4 MP </w:t>
            </w:r>
            <w:r>
              <w:t>Nástroje pro zajištění metodické a koordinační role ÚV-SVVI</w:t>
            </w:r>
          </w:p>
        </w:tc>
      </w:tr>
      <w:tr w:rsidR="008220E6" w:rsidRPr="00C5798B" w14:paraId="1A8801F7" w14:textId="77777777" w:rsidTr="00B764E8">
        <w:tc>
          <w:tcPr>
            <w:tcW w:w="2122" w:type="dxa"/>
            <w:tcBorders>
              <w:top w:val="single" w:sz="6" w:space="0" w:color="auto"/>
              <w:bottom w:val="single" w:sz="6" w:space="0" w:color="auto"/>
            </w:tcBorders>
            <w:shd w:val="clear" w:color="92D050" w:fill="FFFFFF" w:themeFill="background1"/>
          </w:tcPr>
          <w:p w14:paraId="0D82BAF2" w14:textId="77777777" w:rsidR="008220E6" w:rsidRPr="00F911BA" w:rsidRDefault="008220E6" w:rsidP="00B764E8">
            <w:pPr>
              <w:jc w:val="both"/>
              <w:rPr>
                <w:rFonts w:ascii="Calibri" w:hAnsi="Calibri" w:cs="Calibri"/>
              </w:rPr>
            </w:pPr>
            <w:r w:rsidRPr="00F911BA">
              <w:rPr>
                <w:rFonts w:ascii="Calibri" w:hAnsi="Calibri" w:cs="Calibri"/>
              </w:rPr>
              <w:t xml:space="preserve">Koordinace přípravy programů </w:t>
            </w:r>
          </w:p>
        </w:tc>
        <w:tc>
          <w:tcPr>
            <w:tcW w:w="3118" w:type="dxa"/>
            <w:tcBorders>
              <w:top w:val="single" w:sz="6" w:space="0" w:color="auto"/>
              <w:bottom w:val="single" w:sz="6" w:space="0" w:color="auto"/>
            </w:tcBorders>
            <w:shd w:val="clear" w:color="92D050" w:fill="FFFFFF" w:themeFill="background1"/>
          </w:tcPr>
          <w:p w14:paraId="6B4A9800" w14:textId="77777777" w:rsidR="008220E6" w:rsidRPr="00F911BA" w:rsidRDefault="008220E6" w:rsidP="00B764E8">
            <w:pPr>
              <w:jc w:val="both"/>
              <w:rPr>
                <w:rFonts w:ascii="Calibri" w:hAnsi="Calibri" w:cs="Calibri"/>
              </w:rPr>
            </w:pPr>
            <w:r w:rsidRPr="00F911BA">
              <w:rPr>
                <w:rFonts w:ascii="Calibri" w:hAnsi="Calibri" w:cs="Calibri"/>
              </w:rPr>
              <w:t xml:space="preserve">Vytvořit komunikačně-metodickou platformu sdružující jednotlivé poskytovatele a SVVI ÚV poskytující prostor pro sdílení zkušeností a diskusi metodických otázek. </w:t>
            </w:r>
          </w:p>
        </w:tc>
        <w:tc>
          <w:tcPr>
            <w:tcW w:w="1418" w:type="dxa"/>
            <w:tcBorders>
              <w:top w:val="single" w:sz="6" w:space="0" w:color="auto"/>
              <w:bottom w:val="single" w:sz="6" w:space="0" w:color="auto"/>
            </w:tcBorders>
            <w:shd w:val="clear" w:color="92D050" w:fill="FFFFFF" w:themeFill="background1"/>
          </w:tcPr>
          <w:p w14:paraId="27B619C9" w14:textId="007600B4"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1007E926" w14:textId="77777777" w:rsidR="008220E6" w:rsidRPr="00F911BA" w:rsidRDefault="008220E6" w:rsidP="003C660B">
            <w:pPr>
              <w:rPr>
                <w:rFonts w:ascii="Calibri" w:hAnsi="Calibri" w:cs="Calibri"/>
              </w:rPr>
            </w:pPr>
            <w:r>
              <w:rPr>
                <w:rFonts w:ascii="Calibri" w:hAnsi="Calibri" w:cs="Calibri"/>
              </w:rPr>
              <w:t>Viz kap. 4</w:t>
            </w:r>
            <w:r w:rsidRPr="00F911BA">
              <w:rPr>
                <w:rFonts w:ascii="Calibri" w:hAnsi="Calibri" w:cs="Calibri"/>
              </w:rPr>
              <w:t xml:space="preserve"> MP </w:t>
            </w:r>
            <w:r>
              <w:rPr>
                <w:rFonts w:ascii="Calibri" w:hAnsi="Calibri" w:cs="Calibri"/>
              </w:rPr>
              <w:t>Nástroje pro zajištění metodické a koordinační role ÚV-SVVI</w:t>
            </w:r>
            <w:r w:rsidRPr="00F911BA">
              <w:t xml:space="preserve">  </w:t>
            </w:r>
          </w:p>
        </w:tc>
      </w:tr>
      <w:tr w:rsidR="008220E6" w:rsidRPr="00C5798B" w14:paraId="12002AD5" w14:textId="77777777" w:rsidTr="00B764E8">
        <w:tc>
          <w:tcPr>
            <w:tcW w:w="2122" w:type="dxa"/>
            <w:tcBorders>
              <w:top w:val="single" w:sz="6" w:space="0" w:color="auto"/>
              <w:bottom w:val="single" w:sz="6" w:space="0" w:color="auto"/>
            </w:tcBorders>
            <w:shd w:val="clear" w:color="92D050" w:fill="FFFFFF" w:themeFill="background1"/>
          </w:tcPr>
          <w:p w14:paraId="6EC02C2E" w14:textId="77777777" w:rsidR="008220E6" w:rsidRPr="00F911BA" w:rsidRDefault="008220E6" w:rsidP="00B764E8">
            <w:pPr>
              <w:jc w:val="both"/>
              <w:rPr>
                <w:rFonts w:ascii="Calibri" w:hAnsi="Calibri" w:cs="Calibri"/>
              </w:rPr>
            </w:pPr>
          </w:p>
        </w:tc>
        <w:tc>
          <w:tcPr>
            <w:tcW w:w="3118" w:type="dxa"/>
            <w:tcBorders>
              <w:top w:val="single" w:sz="6" w:space="0" w:color="auto"/>
              <w:bottom w:val="single" w:sz="6" w:space="0" w:color="auto"/>
            </w:tcBorders>
            <w:shd w:val="clear" w:color="92D050" w:fill="FFFFFF" w:themeFill="background1"/>
          </w:tcPr>
          <w:p w14:paraId="5D6BDD8A" w14:textId="77777777" w:rsidR="008220E6" w:rsidRPr="00F911BA" w:rsidRDefault="008220E6" w:rsidP="00B764E8">
            <w:pPr>
              <w:jc w:val="both"/>
              <w:rPr>
                <w:rFonts w:ascii="Calibri" w:hAnsi="Calibri" w:cs="Calibri"/>
              </w:rPr>
            </w:pPr>
            <w:r>
              <w:rPr>
                <w:rFonts w:ascii="Calibri" w:hAnsi="Calibri" w:cs="Calibri"/>
              </w:rPr>
              <w:t>Vytvoření harmonizační a metodické jednotky v rámci příslušného věcného útvaru ÚV-SVVI, včetně jejího personálního zabezpečení.</w:t>
            </w:r>
          </w:p>
        </w:tc>
        <w:tc>
          <w:tcPr>
            <w:tcW w:w="1418" w:type="dxa"/>
            <w:tcBorders>
              <w:top w:val="single" w:sz="6" w:space="0" w:color="auto"/>
              <w:bottom w:val="single" w:sz="6" w:space="0" w:color="auto"/>
            </w:tcBorders>
            <w:shd w:val="clear" w:color="92D050" w:fill="FFFFFF" w:themeFill="background1"/>
          </w:tcPr>
          <w:p w14:paraId="0E1EE8A7" w14:textId="77777777" w:rsidR="008220E6" w:rsidRPr="00F911BA" w:rsidRDefault="008220E6" w:rsidP="00B764E8">
            <w:pPr>
              <w:jc w:val="both"/>
              <w:rPr>
                <w:rFonts w:ascii="Calibri" w:hAnsi="Calibri" w:cs="Calibri"/>
              </w:rPr>
            </w:pPr>
          </w:p>
        </w:tc>
        <w:tc>
          <w:tcPr>
            <w:tcW w:w="3118" w:type="dxa"/>
            <w:tcBorders>
              <w:top w:val="single" w:sz="6" w:space="0" w:color="auto"/>
              <w:bottom w:val="single" w:sz="6" w:space="0" w:color="auto"/>
            </w:tcBorders>
            <w:shd w:val="clear" w:color="92D050" w:fill="FFFFFF" w:themeFill="background1"/>
          </w:tcPr>
          <w:p w14:paraId="52D00943" w14:textId="77777777" w:rsidR="008220E6" w:rsidRPr="00F911BA" w:rsidRDefault="008220E6" w:rsidP="003C660B">
            <w:pPr>
              <w:rPr>
                <w:rFonts w:ascii="Calibri" w:hAnsi="Calibri" w:cs="Calibri"/>
              </w:rPr>
            </w:pPr>
            <w:r>
              <w:rPr>
                <w:rFonts w:ascii="Calibri" w:hAnsi="Calibri" w:cs="Calibri"/>
              </w:rPr>
              <w:t>Viz kap. 4</w:t>
            </w:r>
            <w:r w:rsidRPr="00F911BA">
              <w:rPr>
                <w:rFonts w:ascii="Calibri" w:hAnsi="Calibri" w:cs="Calibri"/>
              </w:rPr>
              <w:t xml:space="preserve"> MP </w:t>
            </w:r>
            <w:r>
              <w:rPr>
                <w:rFonts w:ascii="Calibri" w:hAnsi="Calibri" w:cs="Calibri"/>
              </w:rPr>
              <w:t>Nástroje pro zajištění metodické a koordinační role ÚV-SVVI</w:t>
            </w:r>
            <w:r w:rsidRPr="00F911BA">
              <w:t xml:space="preserve">  </w:t>
            </w:r>
          </w:p>
        </w:tc>
      </w:tr>
      <w:tr w:rsidR="008220E6" w:rsidRPr="00C5798B" w14:paraId="2FFAF123" w14:textId="77777777" w:rsidTr="00B764E8">
        <w:tc>
          <w:tcPr>
            <w:tcW w:w="2122" w:type="dxa"/>
            <w:tcBorders>
              <w:top w:val="single" w:sz="6" w:space="0" w:color="auto"/>
              <w:bottom w:val="single" w:sz="6" w:space="0" w:color="auto"/>
            </w:tcBorders>
            <w:shd w:val="clear" w:color="92D050" w:fill="FFFFFF" w:themeFill="background1"/>
          </w:tcPr>
          <w:p w14:paraId="2B77D88A" w14:textId="77777777" w:rsidR="008220E6" w:rsidRPr="00F911BA" w:rsidRDefault="008220E6" w:rsidP="00B764E8">
            <w:pPr>
              <w:jc w:val="both"/>
              <w:rPr>
                <w:rFonts w:ascii="Calibri" w:hAnsi="Calibri" w:cs="Calibri"/>
              </w:rPr>
            </w:pPr>
            <w:r w:rsidRPr="00F911BA">
              <w:rPr>
                <w:rFonts w:ascii="Calibri" w:hAnsi="Calibri" w:cs="Calibri"/>
              </w:rPr>
              <w:t>Postup schvalování návrhů programů</w:t>
            </w:r>
          </w:p>
        </w:tc>
        <w:tc>
          <w:tcPr>
            <w:tcW w:w="3118" w:type="dxa"/>
            <w:tcBorders>
              <w:top w:val="single" w:sz="6" w:space="0" w:color="auto"/>
              <w:bottom w:val="single" w:sz="6" w:space="0" w:color="auto"/>
            </w:tcBorders>
            <w:shd w:val="clear" w:color="92D050" w:fill="FFFFFF" w:themeFill="background1"/>
          </w:tcPr>
          <w:p w14:paraId="2FBAF196" w14:textId="77777777" w:rsidR="008220E6" w:rsidRPr="00F911BA" w:rsidRDefault="008220E6" w:rsidP="00B764E8">
            <w:pPr>
              <w:jc w:val="both"/>
              <w:rPr>
                <w:rFonts w:ascii="Calibri" w:hAnsi="Calibri" w:cs="Calibri"/>
              </w:rPr>
            </w:pPr>
            <w:r w:rsidRPr="00F911BA">
              <w:rPr>
                <w:rFonts w:ascii="Calibri" w:hAnsi="Calibri" w:cs="Calibri"/>
              </w:rPr>
              <w:t xml:space="preserve">Sjednotit přístup k projednávání a schvalování návrhů programů. </w:t>
            </w:r>
          </w:p>
        </w:tc>
        <w:tc>
          <w:tcPr>
            <w:tcW w:w="1418" w:type="dxa"/>
            <w:tcBorders>
              <w:top w:val="single" w:sz="6" w:space="0" w:color="auto"/>
              <w:bottom w:val="single" w:sz="6" w:space="0" w:color="auto"/>
            </w:tcBorders>
            <w:shd w:val="clear" w:color="92D050" w:fill="FFFFFF" w:themeFill="background1"/>
          </w:tcPr>
          <w:p w14:paraId="31D2DDF6" w14:textId="4A059EEE"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0199F160"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09CD9C89" w14:textId="77777777" w:rsidR="008220E6" w:rsidRPr="00F911BA" w:rsidRDefault="008220E6" w:rsidP="00B764E8">
            <w:pPr>
              <w:jc w:val="both"/>
              <w:rPr>
                <w:rFonts w:ascii="Calibri" w:hAnsi="Calibri" w:cs="Calibri"/>
              </w:rPr>
            </w:pPr>
          </w:p>
        </w:tc>
      </w:tr>
      <w:tr w:rsidR="008220E6" w:rsidRPr="00C5798B" w14:paraId="309C2807" w14:textId="77777777" w:rsidTr="00B764E8">
        <w:tc>
          <w:tcPr>
            <w:tcW w:w="2122" w:type="dxa"/>
            <w:tcBorders>
              <w:top w:val="single" w:sz="6" w:space="0" w:color="auto"/>
              <w:bottom w:val="single" w:sz="6" w:space="0" w:color="auto"/>
            </w:tcBorders>
            <w:shd w:val="clear" w:color="92D050" w:fill="FFFFFF" w:themeFill="background1"/>
          </w:tcPr>
          <w:p w14:paraId="4901A7FD" w14:textId="77777777" w:rsidR="008220E6" w:rsidRPr="00F911BA" w:rsidRDefault="008220E6" w:rsidP="00B764E8">
            <w:pPr>
              <w:jc w:val="both"/>
              <w:rPr>
                <w:rFonts w:ascii="Calibri" w:hAnsi="Calibri" w:cs="Calibri"/>
              </w:rPr>
            </w:pPr>
            <w:r w:rsidRPr="00F911BA">
              <w:rPr>
                <w:rFonts w:ascii="Calibri" w:hAnsi="Calibri" w:cs="Calibri"/>
              </w:rPr>
              <w:t>Východiska návrhu programu</w:t>
            </w:r>
          </w:p>
        </w:tc>
        <w:tc>
          <w:tcPr>
            <w:tcW w:w="3118" w:type="dxa"/>
            <w:tcBorders>
              <w:top w:val="single" w:sz="6" w:space="0" w:color="auto"/>
              <w:bottom w:val="single" w:sz="6" w:space="0" w:color="auto"/>
            </w:tcBorders>
            <w:shd w:val="clear" w:color="92D050" w:fill="FFFFFF" w:themeFill="background1"/>
          </w:tcPr>
          <w:p w14:paraId="5F96760E" w14:textId="1F3F5336" w:rsidR="008220E6" w:rsidRPr="00F911BA" w:rsidRDefault="008220E6" w:rsidP="00B764E8">
            <w:pPr>
              <w:jc w:val="both"/>
              <w:rPr>
                <w:rFonts w:ascii="Calibri" w:hAnsi="Calibri" w:cs="Calibri"/>
              </w:rPr>
            </w:pPr>
            <w:r w:rsidRPr="00F911BA">
              <w:rPr>
                <w:rFonts w:ascii="Calibri" w:hAnsi="Calibri" w:cs="Calibri"/>
              </w:rPr>
              <w:t xml:space="preserve">Při hodnocení obsahového vymezení programu zohlednit skutečnost, že program je nástrojem realizace resortní koncepce </w:t>
            </w:r>
            <w:r w:rsidR="008D0BE1">
              <w:rPr>
                <w:rFonts w:ascii="Calibri" w:hAnsi="Calibri" w:cs="Calibri"/>
              </w:rPr>
              <w:t>VVI</w:t>
            </w:r>
            <w:r w:rsidRPr="00F911BA">
              <w:rPr>
                <w:rFonts w:ascii="Calibri" w:hAnsi="Calibri" w:cs="Calibri"/>
              </w:rPr>
              <w:t xml:space="preserve"> a je tedy koncepci podřízen.</w:t>
            </w:r>
          </w:p>
        </w:tc>
        <w:tc>
          <w:tcPr>
            <w:tcW w:w="1418" w:type="dxa"/>
            <w:tcBorders>
              <w:top w:val="single" w:sz="6" w:space="0" w:color="auto"/>
              <w:bottom w:val="single" w:sz="6" w:space="0" w:color="auto"/>
            </w:tcBorders>
            <w:shd w:val="clear" w:color="92D050" w:fill="FFFFFF" w:themeFill="background1"/>
          </w:tcPr>
          <w:p w14:paraId="2A3BD0DA" w14:textId="77777777" w:rsidR="008220E6" w:rsidRPr="00F911BA" w:rsidRDefault="008220E6" w:rsidP="00B764E8">
            <w:pPr>
              <w:jc w:val="both"/>
              <w:rPr>
                <w:rFonts w:ascii="Calibri" w:hAnsi="Calibri" w:cs="Calibri"/>
              </w:rPr>
            </w:pPr>
            <w:r w:rsidRPr="00F911BA">
              <w:rPr>
                <w:rFonts w:ascii="Calibri" w:hAnsi="Calibri" w:cs="Calibri"/>
              </w:rPr>
              <w:t>KHV</w:t>
            </w:r>
          </w:p>
        </w:tc>
        <w:tc>
          <w:tcPr>
            <w:tcW w:w="3118" w:type="dxa"/>
            <w:tcBorders>
              <w:top w:val="single" w:sz="6" w:space="0" w:color="auto"/>
              <w:bottom w:val="single" w:sz="6" w:space="0" w:color="auto"/>
            </w:tcBorders>
            <w:shd w:val="clear" w:color="92D050" w:fill="FFFFFF" w:themeFill="background1"/>
          </w:tcPr>
          <w:p w14:paraId="53C805E6"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3B972611" w14:textId="77777777" w:rsidR="008220E6" w:rsidRPr="00F911BA" w:rsidRDefault="008220E6" w:rsidP="00B764E8">
            <w:pPr>
              <w:jc w:val="both"/>
              <w:rPr>
                <w:rFonts w:ascii="Calibri" w:hAnsi="Calibri" w:cs="Calibri"/>
              </w:rPr>
            </w:pPr>
          </w:p>
        </w:tc>
      </w:tr>
      <w:tr w:rsidR="008220E6" w:rsidRPr="00C5798B" w14:paraId="21BF9421" w14:textId="77777777" w:rsidTr="00B764E8">
        <w:tc>
          <w:tcPr>
            <w:tcW w:w="2122" w:type="dxa"/>
            <w:tcBorders>
              <w:top w:val="single" w:sz="6" w:space="0" w:color="auto"/>
              <w:bottom w:val="single" w:sz="6" w:space="0" w:color="auto"/>
            </w:tcBorders>
            <w:shd w:val="clear" w:color="92D050" w:fill="FFFFFF" w:themeFill="background1"/>
          </w:tcPr>
          <w:p w14:paraId="71B863D0" w14:textId="77777777" w:rsidR="008220E6" w:rsidRPr="00F911BA" w:rsidRDefault="008220E6" w:rsidP="00B764E8">
            <w:pPr>
              <w:jc w:val="both"/>
              <w:rPr>
                <w:rFonts w:ascii="Calibri" w:hAnsi="Calibri" w:cs="Calibri"/>
              </w:rPr>
            </w:pPr>
            <w:r w:rsidRPr="00F911BA">
              <w:rPr>
                <w:rFonts w:ascii="Calibri" w:hAnsi="Calibri" w:cs="Calibri"/>
              </w:rPr>
              <w:t>Posuzování návrhu programu</w:t>
            </w:r>
          </w:p>
        </w:tc>
        <w:tc>
          <w:tcPr>
            <w:tcW w:w="3118" w:type="dxa"/>
            <w:tcBorders>
              <w:top w:val="single" w:sz="6" w:space="0" w:color="auto"/>
              <w:bottom w:val="single" w:sz="6" w:space="0" w:color="auto"/>
            </w:tcBorders>
            <w:shd w:val="clear" w:color="92D050" w:fill="FFFFFF" w:themeFill="background1"/>
          </w:tcPr>
          <w:p w14:paraId="49DA2982" w14:textId="3FAADE47" w:rsidR="008220E6" w:rsidRPr="00F911BA" w:rsidRDefault="008220E6" w:rsidP="00B764E8">
            <w:pPr>
              <w:jc w:val="both"/>
              <w:rPr>
                <w:rFonts w:ascii="Calibri" w:hAnsi="Calibri" w:cs="Calibri"/>
              </w:rPr>
            </w:pPr>
            <w:r w:rsidRPr="00F911BA">
              <w:rPr>
                <w:rFonts w:ascii="Calibri" w:hAnsi="Calibri" w:cs="Calibri"/>
              </w:rPr>
              <w:t xml:space="preserve">Doporučení k úpravě návrhu programu účelové podpory formulovat tak, aby reflektovala </w:t>
            </w:r>
            <w:r w:rsidRPr="00F911BA">
              <w:rPr>
                <w:rFonts w:ascii="Calibri" w:hAnsi="Calibri" w:cs="Calibri"/>
              </w:rPr>
              <w:lastRenderedPageBreak/>
              <w:t xml:space="preserve">různorodost programů, byla konkrétní a adresná. Doporučení nevztahovat k účelu a celkové logice programu, neboť ty vycházejí z resortní koncepce </w:t>
            </w:r>
            <w:r w:rsidR="008D0BE1">
              <w:rPr>
                <w:rFonts w:ascii="Calibri" w:hAnsi="Calibri" w:cs="Calibri"/>
              </w:rPr>
              <w:t>VVI</w:t>
            </w:r>
            <w:r w:rsidRPr="00F911BA">
              <w:rPr>
                <w:rFonts w:ascii="Calibri" w:hAnsi="Calibri" w:cs="Calibri"/>
              </w:rPr>
              <w:t>. Doporučení musí navrhovat konkrétní řešení k odstranění zjištěných slabin návrhu programu.</w:t>
            </w:r>
          </w:p>
        </w:tc>
        <w:tc>
          <w:tcPr>
            <w:tcW w:w="1418" w:type="dxa"/>
            <w:tcBorders>
              <w:top w:val="single" w:sz="6" w:space="0" w:color="auto"/>
              <w:bottom w:val="single" w:sz="6" w:space="0" w:color="auto"/>
            </w:tcBorders>
            <w:shd w:val="clear" w:color="92D050" w:fill="FFFFFF" w:themeFill="background1"/>
          </w:tcPr>
          <w:p w14:paraId="51773F4F" w14:textId="77777777" w:rsidR="008220E6" w:rsidRPr="00F911BA" w:rsidRDefault="008220E6" w:rsidP="00B764E8">
            <w:pPr>
              <w:jc w:val="both"/>
              <w:rPr>
                <w:rFonts w:ascii="Calibri" w:hAnsi="Calibri" w:cs="Calibri"/>
              </w:rPr>
            </w:pPr>
            <w:r w:rsidRPr="00F911BA">
              <w:rPr>
                <w:rFonts w:ascii="Calibri" w:hAnsi="Calibri" w:cs="Calibri"/>
              </w:rPr>
              <w:lastRenderedPageBreak/>
              <w:t>KHV</w:t>
            </w:r>
          </w:p>
        </w:tc>
        <w:tc>
          <w:tcPr>
            <w:tcW w:w="3118" w:type="dxa"/>
            <w:tcBorders>
              <w:top w:val="single" w:sz="6" w:space="0" w:color="auto"/>
              <w:bottom w:val="single" w:sz="6" w:space="0" w:color="auto"/>
            </w:tcBorders>
            <w:shd w:val="clear" w:color="92D050" w:fill="FFFFFF" w:themeFill="background1"/>
          </w:tcPr>
          <w:p w14:paraId="66C4A6CB"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213FA592" w14:textId="77777777" w:rsidR="008220E6" w:rsidRPr="00F911BA" w:rsidRDefault="008220E6" w:rsidP="00B764E8">
            <w:pPr>
              <w:jc w:val="both"/>
              <w:rPr>
                <w:rFonts w:ascii="Calibri" w:hAnsi="Calibri" w:cs="Calibri"/>
              </w:rPr>
            </w:pPr>
          </w:p>
        </w:tc>
      </w:tr>
      <w:tr w:rsidR="008220E6" w:rsidRPr="00C5798B" w14:paraId="2B5756D6" w14:textId="77777777" w:rsidTr="00B764E8">
        <w:tc>
          <w:tcPr>
            <w:tcW w:w="2122" w:type="dxa"/>
            <w:tcBorders>
              <w:top w:val="single" w:sz="6" w:space="0" w:color="auto"/>
              <w:bottom w:val="single" w:sz="6" w:space="0" w:color="auto"/>
            </w:tcBorders>
            <w:shd w:val="clear" w:color="92D050" w:fill="FFFFFF" w:themeFill="background1"/>
          </w:tcPr>
          <w:p w14:paraId="4DA27168" w14:textId="77777777" w:rsidR="008220E6" w:rsidRPr="00F911BA" w:rsidRDefault="008220E6" w:rsidP="00B764E8">
            <w:pPr>
              <w:jc w:val="both"/>
              <w:rPr>
                <w:rFonts w:ascii="Calibri" w:hAnsi="Calibri" w:cs="Calibri"/>
              </w:rPr>
            </w:pPr>
            <w:r w:rsidRPr="00F911BA">
              <w:rPr>
                <w:rFonts w:ascii="Calibri" w:hAnsi="Calibri" w:cs="Calibri"/>
              </w:rPr>
              <w:t>Harmonogram schvalování programu</w:t>
            </w:r>
          </w:p>
        </w:tc>
        <w:tc>
          <w:tcPr>
            <w:tcW w:w="3118" w:type="dxa"/>
            <w:tcBorders>
              <w:top w:val="single" w:sz="6" w:space="0" w:color="auto"/>
              <w:bottom w:val="single" w:sz="6" w:space="0" w:color="auto"/>
            </w:tcBorders>
            <w:shd w:val="clear" w:color="92D050" w:fill="FFFFFF" w:themeFill="background1"/>
          </w:tcPr>
          <w:p w14:paraId="6BE57E31" w14:textId="77777777" w:rsidR="008220E6" w:rsidRPr="00F911BA" w:rsidRDefault="008220E6" w:rsidP="00B764E8">
            <w:pPr>
              <w:jc w:val="both"/>
              <w:rPr>
                <w:rFonts w:ascii="Calibri" w:hAnsi="Calibri" w:cs="Calibri"/>
              </w:rPr>
            </w:pPr>
            <w:r w:rsidRPr="00F911BA">
              <w:rPr>
                <w:rFonts w:ascii="Calibri" w:hAnsi="Calibri" w:cs="Calibri"/>
              </w:rPr>
              <w:t xml:space="preserve">Stanovit harmonogram, resp. lhůty pro schvalování návrhu programu vzhledem k harmonogramu přípravy státního rozpočtu.  </w:t>
            </w:r>
          </w:p>
        </w:tc>
        <w:tc>
          <w:tcPr>
            <w:tcW w:w="1418" w:type="dxa"/>
            <w:tcBorders>
              <w:top w:val="single" w:sz="6" w:space="0" w:color="auto"/>
              <w:bottom w:val="single" w:sz="6" w:space="0" w:color="auto"/>
            </w:tcBorders>
            <w:shd w:val="clear" w:color="92D050" w:fill="FFFFFF" w:themeFill="background1"/>
          </w:tcPr>
          <w:p w14:paraId="5E270EB7" w14:textId="54AEEA60"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1B6C787F"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tc>
      </w:tr>
      <w:tr w:rsidR="008220E6" w:rsidRPr="00C5798B" w14:paraId="14570939" w14:textId="77777777" w:rsidTr="00B764E8">
        <w:tc>
          <w:tcPr>
            <w:tcW w:w="2122" w:type="dxa"/>
            <w:tcBorders>
              <w:top w:val="single" w:sz="6" w:space="0" w:color="auto"/>
              <w:bottom w:val="single" w:sz="6" w:space="0" w:color="auto"/>
            </w:tcBorders>
            <w:shd w:val="clear" w:color="92D050" w:fill="FFFFFF" w:themeFill="background1"/>
          </w:tcPr>
          <w:p w14:paraId="50AB1A25" w14:textId="77777777" w:rsidR="008220E6" w:rsidRPr="00F911BA" w:rsidRDefault="008220E6" w:rsidP="00B764E8">
            <w:pPr>
              <w:jc w:val="both"/>
              <w:rPr>
                <w:rFonts w:ascii="Calibri" w:hAnsi="Calibri" w:cs="Calibri"/>
              </w:rPr>
            </w:pPr>
            <w:r>
              <w:rPr>
                <w:rFonts w:ascii="Calibri" w:hAnsi="Calibri" w:cs="Calibri"/>
              </w:rPr>
              <w:t>Zásady</w:t>
            </w:r>
            <w:r w:rsidRPr="00F911BA">
              <w:rPr>
                <w:rFonts w:ascii="Calibri" w:hAnsi="Calibri" w:cs="Calibri"/>
              </w:rPr>
              <w:t xml:space="preserve"> pro hodnocení programů a skupin grantových projektů</w:t>
            </w:r>
          </w:p>
        </w:tc>
        <w:tc>
          <w:tcPr>
            <w:tcW w:w="3118" w:type="dxa"/>
            <w:tcBorders>
              <w:top w:val="single" w:sz="6" w:space="0" w:color="auto"/>
              <w:bottom w:val="single" w:sz="6" w:space="0" w:color="auto"/>
            </w:tcBorders>
            <w:shd w:val="clear" w:color="92D050" w:fill="FFFFFF" w:themeFill="background1"/>
          </w:tcPr>
          <w:p w14:paraId="4F16E571" w14:textId="77777777" w:rsidR="008220E6" w:rsidRPr="00F911BA" w:rsidRDefault="008220E6" w:rsidP="00B764E8">
            <w:pPr>
              <w:jc w:val="both"/>
              <w:rPr>
                <w:rFonts w:ascii="Calibri" w:hAnsi="Calibri" w:cs="Calibri"/>
              </w:rPr>
            </w:pPr>
            <w:r w:rsidRPr="00F911BA">
              <w:rPr>
                <w:rFonts w:ascii="Calibri" w:hAnsi="Calibri" w:cs="Calibri"/>
              </w:rPr>
              <w:t xml:space="preserve">Vytvořit nové principy pro hodnocení programů a skupin grantových projektů. </w:t>
            </w:r>
            <w:r>
              <w:rPr>
                <w:rFonts w:ascii="Calibri" w:hAnsi="Calibri" w:cs="Calibri"/>
              </w:rPr>
              <w:t>Zásady</w:t>
            </w:r>
            <w:r w:rsidRPr="00F911BA">
              <w:rPr>
                <w:rFonts w:ascii="Calibri" w:hAnsi="Calibri" w:cs="Calibri"/>
              </w:rPr>
              <w:t xml:space="preserve"> stanoví základní pravidla pro jednotlivé druhy evaluací, včetně metodických pravidel, a zohlední specifika podpory základního výzkumu prostřednictvím skupin grantových projektů. </w:t>
            </w:r>
          </w:p>
        </w:tc>
        <w:tc>
          <w:tcPr>
            <w:tcW w:w="1418" w:type="dxa"/>
            <w:tcBorders>
              <w:top w:val="single" w:sz="6" w:space="0" w:color="auto"/>
              <w:bottom w:val="single" w:sz="6" w:space="0" w:color="auto"/>
            </w:tcBorders>
            <w:shd w:val="clear" w:color="92D050" w:fill="FFFFFF" w:themeFill="background1"/>
          </w:tcPr>
          <w:p w14:paraId="3C6CFE63" w14:textId="556248FA" w:rsidR="008220E6" w:rsidRPr="00F911BA" w:rsidRDefault="008220E6" w:rsidP="00B764E8">
            <w:pPr>
              <w:jc w:val="both"/>
              <w:rPr>
                <w:rFonts w:ascii="Calibri" w:hAnsi="Calibri" w:cs="Calibri"/>
              </w:rPr>
            </w:pPr>
            <w:r w:rsidRPr="00F911BA">
              <w:rPr>
                <w:rFonts w:ascii="Calibri" w:hAnsi="Calibri" w:cs="Calibri"/>
              </w:rPr>
              <w:t>RVVI/ÚV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3C67E9BE"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797EE653" w14:textId="77777777" w:rsidR="008220E6" w:rsidRPr="00F911BA" w:rsidRDefault="008220E6" w:rsidP="00B764E8">
            <w:pPr>
              <w:jc w:val="both"/>
              <w:rPr>
                <w:rFonts w:ascii="Calibri" w:hAnsi="Calibri" w:cs="Calibri"/>
              </w:rPr>
            </w:pPr>
          </w:p>
        </w:tc>
      </w:tr>
      <w:tr w:rsidR="008220E6" w:rsidRPr="00C5798B" w14:paraId="3703A59B" w14:textId="77777777" w:rsidTr="00B764E8">
        <w:tc>
          <w:tcPr>
            <w:tcW w:w="2122" w:type="dxa"/>
            <w:tcBorders>
              <w:top w:val="single" w:sz="6" w:space="0" w:color="auto"/>
              <w:bottom w:val="single" w:sz="6" w:space="0" w:color="auto"/>
            </w:tcBorders>
            <w:shd w:val="clear" w:color="92D050" w:fill="FFFFFF" w:themeFill="background1"/>
          </w:tcPr>
          <w:p w14:paraId="6A0987FA" w14:textId="77777777" w:rsidR="008220E6" w:rsidRPr="00F911BA" w:rsidRDefault="008220E6" w:rsidP="00B764E8">
            <w:pPr>
              <w:jc w:val="both"/>
              <w:rPr>
                <w:rFonts w:ascii="Calibri" w:hAnsi="Calibri" w:cs="Calibri"/>
              </w:rPr>
            </w:pPr>
            <w:r w:rsidRPr="00F911BA">
              <w:rPr>
                <w:rFonts w:ascii="Calibri" w:hAnsi="Calibri" w:cs="Calibri"/>
              </w:rPr>
              <w:t>Obsah návrhu programu</w:t>
            </w:r>
          </w:p>
        </w:tc>
        <w:tc>
          <w:tcPr>
            <w:tcW w:w="3118" w:type="dxa"/>
            <w:tcBorders>
              <w:top w:val="single" w:sz="6" w:space="0" w:color="auto"/>
              <w:bottom w:val="single" w:sz="6" w:space="0" w:color="auto"/>
            </w:tcBorders>
            <w:shd w:val="clear" w:color="92D050" w:fill="FFFFFF" w:themeFill="background1"/>
          </w:tcPr>
          <w:p w14:paraId="0AB26B79" w14:textId="77777777" w:rsidR="008220E6" w:rsidRPr="00F911BA" w:rsidRDefault="008220E6" w:rsidP="00B764E8">
            <w:pPr>
              <w:jc w:val="both"/>
              <w:rPr>
                <w:rFonts w:ascii="Calibri" w:hAnsi="Calibri" w:cs="Calibri"/>
              </w:rPr>
            </w:pPr>
            <w:r w:rsidRPr="00F911BA">
              <w:rPr>
                <w:rFonts w:ascii="Calibri" w:hAnsi="Calibri" w:cs="Calibri"/>
              </w:rPr>
              <w:t>Stanovit souhrnné požadavky (</w:t>
            </w:r>
            <w:r>
              <w:rPr>
                <w:rFonts w:ascii="Calibri" w:hAnsi="Calibri" w:cs="Calibri"/>
              </w:rPr>
              <w:t>principy</w:t>
            </w:r>
            <w:r w:rsidRPr="00F911BA">
              <w:rPr>
                <w:rFonts w:ascii="Calibri" w:hAnsi="Calibri" w:cs="Calibri"/>
              </w:rPr>
              <w:t>), které mají splňovat návrhy programů.</w:t>
            </w:r>
          </w:p>
        </w:tc>
        <w:tc>
          <w:tcPr>
            <w:tcW w:w="1418" w:type="dxa"/>
            <w:tcBorders>
              <w:top w:val="single" w:sz="6" w:space="0" w:color="auto"/>
              <w:bottom w:val="single" w:sz="6" w:space="0" w:color="auto"/>
            </w:tcBorders>
            <w:shd w:val="clear" w:color="92D050" w:fill="FFFFFF" w:themeFill="background1"/>
          </w:tcPr>
          <w:p w14:paraId="79D1B8C7" w14:textId="36969270" w:rsidR="008220E6" w:rsidRPr="00F911BA" w:rsidRDefault="008220E6" w:rsidP="00B764E8">
            <w:pPr>
              <w:jc w:val="both"/>
              <w:rPr>
                <w:rFonts w:ascii="Calibri" w:hAnsi="Calibri" w:cs="Calibri"/>
              </w:rPr>
            </w:pPr>
            <w:r w:rsidRPr="00F911BA">
              <w:rPr>
                <w:rFonts w:ascii="Calibri" w:hAnsi="Calibri" w:cs="Calibri"/>
              </w:rPr>
              <w:t>ÚV</w:t>
            </w:r>
            <w:r w:rsidR="00F468C3">
              <w:rPr>
                <w:rFonts w:ascii="Calibri" w:hAnsi="Calibri" w:cs="Calibri"/>
              </w:rPr>
              <w:t>-SVVI</w:t>
            </w:r>
          </w:p>
        </w:tc>
        <w:tc>
          <w:tcPr>
            <w:tcW w:w="3118" w:type="dxa"/>
            <w:tcBorders>
              <w:top w:val="single" w:sz="6" w:space="0" w:color="auto"/>
              <w:bottom w:val="single" w:sz="6" w:space="0" w:color="auto"/>
            </w:tcBorders>
            <w:shd w:val="clear" w:color="92D050" w:fill="FFFFFF" w:themeFill="background1"/>
          </w:tcPr>
          <w:p w14:paraId="7DAA907E"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137628B0" w14:textId="77777777" w:rsidR="008220E6" w:rsidRPr="00F911BA" w:rsidRDefault="008220E6" w:rsidP="00B764E8">
            <w:pPr>
              <w:jc w:val="both"/>
              <w:rPr>
                <w:rFonts w:ascii="Calibri" w:hAnsi="Calibri" w:cs="Calibri"/>
              </w:rPr>
            </w:pPr>
          </w:p>
        </w:tc>
      </w:tr>
      <w:tr w:rsidR="008220E6" w:rsidRPr="00C5798B" w14:paraId="128B6A9B" w14:textId="77777777" w:rsidTr="00B764E8">
        <w:tc>
          <w:tcPr>
            <w:tcW w:w="2122" w:type="dxa"/>
            <w:tcBorders>
              <w:top w:val="single" w:sz="6" w:space="0" w:color="auto"/>
              <w:bottom w:val="single" w:sz="4" w:space="0" w:color="auto"/>
            </w:tcBorders>
            <w:shd w:val="clear" w:color="92D050" w:fill="FFFFFF" w:themeFill="background1"/>
          </w:tcPr>
          <w:p w14:paraId="21F4F198" w14:textId="77777777" w:rsidR="008220E6" w:rsidRPr="00F911BA" w:rsidRDefault="008220E6" w:rsidP="00B764E8">
            <w:pPr>
              <w:jc w:val="both"/>
              <w:rPr>
                <w:rFonts w:ascii="Calibri" w:hAnsi="Calibri" w:cs="Calibri"/>
              </w:rPr>
            </w:pPr>
            <w:r w:rsidRPr="00F911BA">
              <w:rPr>
                <w:rFonts w:ascii="Calibri" w:hAnsi="Calibri" w:cs="Calibri"/>
              </w:rPr>
              <w:t>Hodnocení dopadů</w:t>
            </w:r>
          </w:p>
        </w:tc>
        <w:tc>
          <w:tcPr>
            <w:tcW w:w="3118" w:type="dxa"/>
            <w:tcBorders>
              <w:top w:val="single" w:sz="6" w:space="0" w:color="auto"/>
              <w:bottom w:val="single" w:sz="4" w:space="0" w:color="auto"/>
            </w:tcBorders>
            <w:shd w:val="clear" w:color="92D050" w:fill="FFFFFF" w:themeFill="background1"/>
          </w:tcPr>
          <w:p w14:paraId="4CE5163B" w14:textId="77777777" w:rsidR="008220E6" w:rsidRPr="00F911BA" w:rsidRDefault="008220E6" w:rsidP="00B764E8">
            <w:pPr>
              <w:jc w:val="both"/>
              <w:rPr>
                <w:rFonts w:ascii="Calibri" w:hAnsi="Calibri" w:cs="Calibri"/>
              </w:rPr>
            </w:pPr>
            <w:r w:rsidRPr="00F911BA">
              <w:rPr>
                <w:rFonts w:ascii="Calibri" w:hAnsi="Calibri" w:cs="Calibri"/>
              </w:rPr>
              <w:t>Vytvořit společné principy pro hodnocení dopadů, které poskytnou metodický základ pro obsahové zadání evaluací, včetně stanovení potřeby zohlednění vlivu vnějšího prostředí, potřeby využití kvalitativních indikátorů apod…</w:t>
            </w:r>
          </w:p>
        </w:tc>
        <w:tc>
          <w:tcPr>
            <w:tcW w:w="1418" w:type="dxa"/>
            <w:tcBorders>
              <w:top w:val="single" w:sz="6" w:space="0" w:color="auto"/>
              <w:bottom w:val="single" w:sz="4" w:space="0" w:color="auto"/>
            </w:tcBorders>
            <w:shd w:val="clear" w:color="92D050" w:fill="FFFFFF" w:themeFill="background1"/>
          </w:tcPr>
          <w:p w14:paraId="0B92B040" w14:textId="497C9094" w:rsidR="008220E6" w:rsidRPr="00F911BA" w:rsidRDefault="008220E6" w:rsidP="00B764E8">
            <w:pPr>
              <w:jc w:val="both"/>
              <w:rPr>
                <w:rFonts w:ascii="Calibri" w:hAnsi="Calibri" w:cs="Calibri"/>
              </w:rPr>
            </w:pPr>
            <w:r w:rsidRPr="00F911BA">
              <w:rPr>
                <w:rFonts w:ascii="Calibri" w:hAnsi="Calibri" w:cs="Calibri"/>
              </w:rPr>
              <w:t>RVVI/ÚV</w:t>
            </w:r>
            <w:r w:rsidR="00F468C3">
              <w:rPr>
                <w:rFonts w:ascii="Calibri" w:hAnsi="Calibri" w:cs="Calibri"/>
              </w:rPr>
              <w:t>-SVVI</w:t>
            </w:r>
          </w:p>
        </w:tc>
        <w:tc>
          <w:tcPr>
            <w:tcW w:w="3118" w:type="dxa"/>
            <w:tcBorders>
              <w:top w:val="single" w:sz="6" w:space="0" w:color="auto"/>
              <w:bottom w:val="single" w:sz="4" w:space="0" w:color="auto"/>
            </w:tcBorders>
            <w:shd w:val="clear" w:color="92D050" w:fill="FFFFFF" w:themeFill="background1"/>
          </w:tcPr>
          <w:p w14:paraId="1580406C" w14:textId="77777777" w:rsidR="008220E6" w:rsidRPr="00F911BA" w:rsidRDefault="008220E6" w:rsidP="00B764E8">
            <w:pPr>
              <w:jc w:val="both"/>
              <w:rPr>
                <w:rFonts w:ascii="Calibri" w:hAnsi="Calibri" w:cs="Calibri"/>
              </w:rPr>
            </w:pPr>
            <w:r w:rsidRPr="00F911BA">
              <w:rPr>
                <w:rFonts w:ascii="Calibri" w:hAnsi="Calibri" w:cs="Calibri"/>
              </w:rPr>
              <w:t xml:space="preserve">Viz </w:t>
            </w:r>
            <w:r>
              <w:rPr>
                <w:rFonts w:ascii="Calibri" w:hAnsi="Calibri" w:cs="Calibri"/>
              </w:rPr>
              <w:t>Zásady</w:t>
            </w:r>
          </w:p>
          <w:p w14:paraId="74343969" w14:textId="77777777" w:rsidR="008220E6" w:rsidRPr="00F911BA" w:rsidRDefault="008220E6" w:rsidP="00B764E8">
            <w:pPr>
              <w:jc w:val="both"/>
              <w:rPr>
                <w:rFonts w:ascii="Calibri" w:hAnsi="Calibri" w:cs="Calibri"/>
              </w:rPr>
            </w:pPr>
          </w:p>
        </w:tc>
      </w:tr>
    </w:tbl>
    <w:p w14:paraId="098580B9" w14:textId="77777777" w:rsidR="008220E6" w:rsidRDefault="008220E6" w:rsidP="008220E6">
      <w:pPr>
        <w:jc w:val="both"/>
        <w:rPr>
          <w:rFonts w:ascii="Calibri" w:hAnsi="Calibri" w:cs="Calibri"/>
        </w:rPr>
      </w:pPr>
    </w:p>
    <w:p w14:paraId="61A7E676" w14:textId="77777777" w:rsidR="008220E6" w:rsidRDefault="008220E6" w:rsidP="008220E6">
      <w:pPr>
        <w:jc w:val="both"/>
        <w:rPr>
          <w:rFonts w:ascii="Calibri" w:hAnsi="Calibri" w:cs="Calibri"/>
        </w:rPr>
      </w:pPr>
    </w:p>
    <w:p w14:paraId="3D27405A" w14:textId="433864A7" w:rsidR="008220E6" w:rsidRDefault="008220E6" w:rsidP="008220E6">
      <w:pPr>
        <w:jc w:val="both"/>
        <w:rPr>
          <w:rFonts w:ascii="Calibri" w:hAnsi="Calibri" w:cs="Calibri"/>
        </w:rPr>
      </w:pPr>
      <w:r>
        <w:rPr>
          <w:rFonts w:ascii="Calibri" w:hAnsi="Calibri" w:cs="Calibri"/>
        </w:rPr>
        <w:t xml:space="preserve">II. </w:t>
      </w:r>
      <w:r w:rsidR="003C660B">
        <w:rPr>
          <w:rFonts w:ascii="Calibri" w:hAnsi="Calibri" w:cs="Calibri"/>
        </w:rPr>
        <w:t>V druhé části</w:t>
      </w:r>
      <w:r>
        <w:rPr>
          <w:rFonts w:ascii="Calibri" w:hAnsi="Calibri" w:cs="Calibri"/>
        </w:rPr>
        <w:t xml:space="preserve"> jsou shrnuta opatření dosaž</w:t>
      </w:r>
      <w:r w:rsidR="00F70A60">
        <w:rPr>
          <w:rFonts w:ascii="Calibri" w:hAnsi="Calibri" w:cs="Calibri"/>
        </w:rPr>
        <w:t>itelná v krátkodobém horizontu.</w:t>
      </w:r>
    </w:p>
    <w:tbl>
      <w:tblPr>
        <w:tblStyle w:val="Mkatabulky"/>
        <w:tblW w:w="9776" w:type="dxa"/>
        <w:shd w:val="clear" w:color="auto" w:fill="FFFF00"/>
        <w:tblLook w:val="04A0" w:firstRow="1" w:lastRow="0" w:firstColumn="1" w:lastColumn="0" w:noHBand="0" w:noVBand="1"/>
      </w:tblPr>
      <w:tblGrid>
        <w:gridCol w:w="2089"/>
        <w:gridCol w:w="3058"/>
        <w:gridCol w:w="1594"/>
        <w:gridCol w:w="3035"/>
      </w:tblGrid>
      <w:tr w:rsidR="008220E6" w:rsidRPr="00C5798B" w14:paraId="2FC7773E" w14:textId="77777777" w:rsidTr="003C660B">
        <w:tc>
          <w:tcPr>
            <w:tcW w:w="2089" w:type="dxa"/>
            <w:tcBorders>
              <w:bottom w:val="single" w:sz="4" w:space="0" w:color="auto"/>
            </w:tcBorders>
            <w:shd w:val="clear" w:color="auto" w:fill="FFFFFF" w:themeFill="background1"/>
          </w:tcPr>
          <w:p w14:paraId="25DC9231" w14:textId="77777777" w:rsidR="008220E6" w:rsidRPr="00C5798B" w:rsidRDefault="008220E6" w:rsidP="00B764E8">
            <w:pPr>
              <w:jc w:val="both"/>
              <w:rPr>
                <w:rFonts w:ascii="Calibri" w:hAnsi="Calibri" w:cs="Calibri"/>
              </w:rPr>
            </w:pPr>
            <w:r w:rsidRPr="00C5798B">
              <w:rPr>
                <w:rFonts w:ascii="Calibri" w:hAnsi="Calibri" w:cs="Calibri"/>
                <w:b/>
                <w:bCs/>
              </w:rPr>
              <w:t>Téma</w:t>
            </w:r>
          </w:p>
        </w:tc>
        <w:tc>
          <w:tcPr>
            <w:tcW w:w="3058" w:type="dxa"/>
            <w:tcBorders>
              <w:bottom w:val="single" w:sz="4" w:space="0" w:color="auto"/>
            </w:tcBorders>
            <w:shd w:val="clear" w:color="auto" w:fill="FFFFFF" w:themeFill="background1"/>
          </w:tcPr>
          <w:p w14:paraId="19E12A69" w14:textId="77777777" w:rsidR="008220E6" w:rsidRPr="00C5798B" w:rsidRDefault="008220E6" w:rsidP="00B764E8">
            <w:pPr>
              <w:jc w:val="both"/>
              <w:rPr>
                <w:rFonts w:ascii="Calibri" w:hAnsi="Calibri" w:cs="Calibri"/>
              </w:rPr>
            </w:pPr>
            <w:r w:rsidRPr="00C5798B">
              <w:rPr>
                <w:rFonts w:ascii="Calibri" w:hAnsi="Calibri" w:cs="Calibri"/>
                <w:b/>
                <w:bCs/>
              </w:rPr>
              <w:t>Doporučení</w:t>
            </w:r>
          </w:p>
        </w:tc>
        <w:tc>
          <w:tcPr>
            <w:tcW w:w="1594" w:type="dxa"/>
            <w:tcBorders>
              <w:bottom w:val="single" w:sz="4" w:space="0" w:color="auto"/>
            </w:tcBorders>
            <w:shd w:val="clear" w:color="auto" w:fill="FFFFFF" w:themeFill="background1"/>
          </w:tcPr>
          <w:p w14:paraId="6E24B1FE" w14:textId="77777777" w:rsidR="008220E6" w:rsidRPr="00C5798B" w:rsidRDefault="008220E6" w:rsidP="00B764E8">
            <w:pPr>
              <w:jc w:val="both"/>
              <w:rPr>
                <w:rFonts w:ascii="Calibri" w:hAnsi="Calibri" w:cs="Calibri"/>
              </w:rPr>
            </w:pPr>
            <w:r w:rsidRPr="00C5798B">
              <w:rPr>
                <w:rFonts w:ascii="Calibri" w:hAnsi="Calibri" w:cs="Calibri"/>
                <w:b/>
                <w:bCs/>
              </w:rPr>
              <w:t>Adresát doporučení</w:t>
            </w:r>
          </w:p>
        </w:tc>
        <w:tc>
          <w:tcPr>
            <w:tcW w:w="3035" w:type="dxa"/>
            <w:tcBorders>
              <w:bottom w:val="single" w:sz="4" w:space="0" w:color="auto"/>
            </w:tcBorders>
            <w:shd w:val="clear" w:color="auto" w:fill="FFFFFF" w:themeFill="background1"/>
          </w:tcPr>
          <w:p w14:paraId="10CD51CA" w14:textId="77777777" w:rsidR="008220E6" w:rsidRPr="00C5798B" w:rsidRDefault="008220E6" w:rsidP="00B764E8">
            <w:pPr>
              <w:jc w:val="both"/>
              <w:rPr>
                <w:rFonts w:ascii="Calibri" w:hAnsi="Calibri" w:cs="Calibri"/>
                <w:b/>
                <w:bCs/>
              </w:rPr>
            </w:pPr>
            <w:r>
              <w:rPr>
                <w:rFonts w:ascii="Calibri" w:hAnsi="Calibri" w:cs="Calibri"/>
                <w:b/>
                <w:bCs/>
              </w:rPr>
              <w:t>Odkaz, kde a jak je doporučení využito</w:t>
            </w:r>
          </w:p>
        </w:tc>
      </w:tr>
      <w:tr w:rsidR="008220E6" w:rsidRPr="00C5798B" w14:paraId="3BF773F9" w14:textId="77777777" w:rsidTr="00B764E8">
        <w:tc>
          <w:tcPr>
            <w:tcW w:w="2089" w:type="dxa"/>
            <w:shd w:val="clear" w:color="auto" w:fill="auto"/>
          </w:tcPr>
          <w:p w14:paraId="12365C98" w14:textId="77777777" w:rsidR="008220E6" w:rsidRPr="00C5798B" w:rsidRDefault="008220E6" w:rsidP="00B764E8">
            <w:pPr>
              <w:jc w:val="both"/>
              <w:rPr>
                <w:rFonts w:ascii="Calibri" w:hAnsi="Calibri" w:cs="Calibri"/>
              </w:rPr>
            </w:pPr>
            <w:r w:rsidRPr="00C5798B">
              <w:rPr>
                <w:rFonts w:ascii="Calibri" w:hAnsi="Calibri" w:cs="Calibri"/>
              </w:rPr>
              <w:t xml:space="preserve">Webová prezentace programů a veřejných soutěží  </w:t>
            </w:r>
          </w:p>
        </w:tc>
        <w:tc>
          <w:tcPr>
            <w:tcW w:w="3058" w:type="dxa"/>
            <w:shd w:val="clear" w:color="auto" w:fill="auto"/>
          </w:tcPr>
          <w:p w14:paraId="4A8AE93E" w14:textId="77777777" w:rsidR="008220E6" w:rsidRPr="00C5798B" w:rsidRDefault="008220E6" w:rsidP="00B764E8">
            <w:pPr>
              <w:jc w:val="both"/>
              <w:rPr>
                <w:rFonts w:ascii="Calibri" w:hAnsi="Calibri" w:cs="Calibri"/>
              </w:rPr>
            </w:pPr>
            <w:r w:rsidRPr="00C5798B">
              <w:rPr>
                <w:rFonts w:ascii="Calibri" w:hAnsi="Calibri" w:cs="Calibri"/>
              </w:rPr>
              <w:t>Vytvořit společnou webovou prezentaci programů a veřejných soutěží.</w:t>
            </w:r>
          </w:p>
        </w:tc>
        <w:tc>
          <w:tcPr>
            <w:tcW w:w="1594" w:type="dxa"/>
            <w:shd w:val="clear" w:color="auto" w:fill="auto"/>
          </w:tcPr>
          <w:p w14:paraId="4E22C7F0" w14:textId="657A369A" w:rsidR="008220E6" w:rsidRPr="00C5798B" w:rsidRDefault="008220E6" w:rsidP="00B764E8">
            <w:pPr>
              <w:jc w:val="both"/>
              <w:rPr>
                <w:rFonts w:ascii="Calibri" w:hAnsi="Calibri" w:cs="Calibri"/>
              </w:rPr>
            </w:pPr>
            <w:r w:rsidRPr="00C5798B">
              <w:rPr>
                <w:rFonts w:ascii="Calibri" w:hAnsi="Calibri" w:cs="Calibri"/>
              </w:rPr>
              <w:t>ÚV</w:t>
            </w:r>
            <w:r w:rsidR="00F468C3">
              <w:rPr>
                <w:rFonts w:ascii="Calibri" w:hAnsi="Calibri" w:cs="Calibri"/>
              </w:rPr>
              <w:t>-SVVI</w:t>
            </w:r>
          </w:p>
        </w:tc>
        <w:tc>
          <w:tcPr>
            <w:tcW w:w="3035" w:type="dxa"/>
            <w:shd w:val="clear" w:color="auto" w:fill="auto"/>
          </w:tcPr>
          <w:p w14:paraId="275D28EB" w14:textId="77777777" w:rsidR="008220E6" w:rsidRPr="00C5798B" w:rsidRDefault="008220E6" w:rsidP="003C660B">
            <w:pPr>
              <w:rPr>
                <w:rFonts w:ascii="Calibri" w:hAnsi="Calibri" w:cs="Calibri"/>
              </w:rPr>
            </w:pPr>
            <w:r>
              <w:rPr>
                <w:rFonts w:ascii="Calibri" w:hAnsi="Calibri" w:cs="Calibri"/>
              </w:rPr>
              <w:t>Viz kap. 4 MP Nástroje pro zajištění metodické a koordinační role ÚV-SVVI</w:t>
            </w:r>
            <w:r w:rsidRPr="00F911BA">
              <w:t xml:space="preserve">  </w:t>
            </w:r>
          </w:p>
        </w:tc>
      </w:tr>
      <w:tr w:rsidR="008220E6" w:rsidRPr="00C5798B" w14:paraId="38650242" w14:textId="77777777" w:rsidTr="00B764E8">
        <w:tc>
          <w:tcPr>
            <w:tcW w:w="2089" w:type="dxa"/>
            <w:shd w:val="clear" w:color="auto" w:fill="auto"/>
          </w:tcPr>
          <w:p w14:paraId="1F28DE91" w14:textId="77777777" w:rsidR="008220E6" w:rsidRPr="00C5798B" w:rsidRDefault="008220E6" w:rsidP="00B764E8">
            <w:pPr>
              <w:jc w:val="both"/>
              <w:rPr>
                <w:rFonts w:ascii="Calibri" w:hAnsi="Calibri" w:cs="Calibri"/>
              </w:rPr>
            </w:pPr>
            <w:r w:rsidRPr="00C5798B">
              <w:rPr>
                <w:rFonts w:ascii="Calibri" w:hAnsi="Calibri" w:cs="Calibri"/>
              </w:rPr>
              <w:t>Dostupnost evaluačních zpráv</w:t>
            </w:r>
          </w:p>
        </w:tc>
        <w:tc>
          <w:tcPr>
            <w:tcW w:w="3058" w:type="dxa"/>
            <w:shd w:val="clear" w:color="auto" w:fill="auto"/>
          </w:tcPr>
          <w:p w14:paraId="7DEF229C" w14:textId="77777777" w:rsidR="008220E6" w:rsidRPr="00C5798B" w:rsidRDefault="008220E6" w:rsidP="00B764E8">
            <w:pPr>
              <w:jc w:val="both"/>
              <w:rPr>
                <w:rFonts w:ascii="Calibri" w:hAnsi="Calibri" w:cs="Calibri"/>
              </w:rPr>
            </w:pPr>
            <w:r w:rsidRPr="00C5798B">
              <w:rPr>
                <w:rFonts w:ascii="Calibri" w:hAnsi="Calibri" w:cs="Calibri"/>
              </w:rPr>
              <w:t xml:space="preserve">Zřídit </w:t>
            </w:r>
            <w:proofErr w:type="spellStart"/>
            <w:r w:rsidRPr="00C5798B">
              <w:rPr>
                <w:rFonts w:ascii="Calibri" w:hAnsi="Calibri" w:cs="Calibri"/>
              </w:rPr>
              <w:t>repozitář</w:t>
            </w:r>
            <w:proofErr w:type="spellEnd"/>
            <w:r w:rsidRPr="00C5798B">
              <w:rPr>
                <w:rFonts w:ascii="Calibri" w:hAnsi="Calibri" w:cs="Calibri"/>
              </w:rPr>
              <w:t xml:space="preserve"> evaluačních zpráv, který bude obsahovat zprávy z jednotlivých druhů evaluací programů všech poskytovatelů.</w:t>
            </w:r>
          </w:p>
        </w:tc>
        <w:tc>
          <w:tcPr>
            <w:tcW w:w="1594" w:type="dxa"/>
            <w:shd w:val="clear" w:color="auto" w:fill="auto"/>
          </w:tcPr>
          <w:p w14:paraId="5A0FB4E1" w14:textId="1C8DAD48" w:rsidR="008220E6" w:rsidRPr="00C5798B" w:rsidRDefault="008220E6" w:rsidP="00B764E8">
            <w:pPr>
              <w:jc w:val="both"/>
              <w:rPr>
                <w:rFonts w:ascii="Calibri" w:hAnsi="Calibri" w:cs="Calibri"/>
              </w:rPr>
            </w:pPr>
            <w:r w:rsidRPr="00C5798B">
              <w:rPr>
                <w:rFonts w:ascii="Calibri" w:hAnsi="Calibri" w:cs="Calibri"/>
              </w:rPr>
              <w:t>ÚV</w:t>
            </w:r>
            <w:r w:rsidR="00F468C3">
              <w:rPr>
                <w:rFonts w:ascii="Calibri" w:hAnsi="Calibri" w:cs="Calibri"/>
              </w:rPr>
              <w:t>-SVVI</w:t>
            </w:r>
          </w:p>
        </w:tc>
        <w:tc>
          <w:tcPr>
            <w:tcW w:w="3035" w:type="dxa"/>
            <w:shd w:val="clear" w:color="auto" w:fill="auto"/>
          </w:tcPr>
          <w:p w14:paraId="00476F5F" w14:textId="1646961A" w:rsidR="008220E6" w:rsidRPr="0013425C" w:rsidRDefault="008220E6" w:rsidP="003C660B">
            <w:pPr>
              <w:pStyle w:val="Nadpis2"/>
              <w:numPr>
                <w:ilvl w:val="0"/>
                <w:numId w:val="0"/>
              </w:numPr>
              <w:rPr>
                <w:rFonts w:ascii="Calibri" w:hAnsi="Calibri" w:cs="Calibri"/>
                <w:b w:val="0"/>
                <w:sz w:val="22"/>
                <w:szCs w:val="22"/>
              </w:rPr>
            </w:pPr>
            <w:bookmarkStart w:id="77" w:name="_Toc190797537"/>
            <w:bookmarkStart w:id="78" w:name="_Toc190881129"/>
            <w:bookmarkStart w:id="79" w:name="_Toc192517099"/>
            <w:bookmarkStart w:id="80" w:name="_Toc194562184"/>
            <w:bookmarkStart w:id="81" w:name="_Toc195063193"/>
            <w:bookmarkStart w:id="82" w:name="_Toc195087091"/>
            <w:bookmarkStart w:id="83" w:name="_Toc195184966"/>
            <w:r w:rsidRPr="00F42AD0">
              <w:rPr>
                <w:rFonts w:ascii="Calibri" w:hAnsi="Calibri" w:cs="Calibri"/>
                <w:b w:val="0"/>
                <w:sz w:val="22"/>
                <w:szCs w:val="22"/>
              </w:rPr>
              <w:t>Viz</w:t>
            </w:r>
            <w:bookmarkEnd w:id="77"/>
            <w:bookmarkEnd w:id="78"/>
            <w:bookmarkEnd w:id="79"/>
            <w:bookmarkEnd w:id="80"/>
            <w:r w:rsidRPr="00F42AD0">
              <w:rPr>
                <w:rFonts w:ascii="Calibri" w:hAnsi="Calibri" w:cs="Calibri"/>
                <w:b w:val="0"/>
                <w:sz w:val="22"/>
                <w:szCs w:val="22"/>
              </w:rPr>
              <w:t xml:space="preserve"> </w:t>
            </w:r>
            <w:bookmarkStart w:id="84" w:name="_Toc190797538"/>
            <w:bookmarkStart w:id="85" w:name="_Toc190881130"/>
            <w:bookmarkStart w:id="86" w:name="_Toc192517100"/>
            <w:bookmarkStart w:id="87" w:name="_Toc194562185"/>
            <w:r>
              <w:rPr>
                <w:rFonts w:ascii="Calibri" w:hAnsi="Calibri" w:cs="Calibri"/>
                <w:b w:val="0"/>
                <w:sz w:val="22"/>
                <w:szCs w:val="22"/>
              </w:rPr>
              <w:t>kap. 8</w:t>
            </w:r>
            <w:r w:rsidR="0013425C">
              <w:rPr>
                <w:rFonts w:ascii="Calibri" w:hAnsi="Calibri" w:cs="Calibri"/>
                <w:b w:val="0"/>
                <w:sz w:val="22"/>
                <w:szCs w:val="22"/>
              </w:rPr>
              <w:t xml:space="preserve"> MP </w:t>
            </w:r>
            <w:r>
              <w:rPr>
                <w:rFonts w:ascii="Calibri" w:hAnsi="Calibri" w:cs="Calibri"/>
                <w:b w:val="0"/>
                <w:sz w:val="22"/>
                <w:szCs w:val="22"/>
              </w:rPr>
              <w:t>Realizace projektů</w:t>
            </w:r>
            <w:bookmarkEnd w:id="84"/>
            <w:bookmarkEnd w:id="85"/>
            <w:bookmarkEnd w:id="86"/>
            <w:bookmarkEnd w:id="87"/>
            <w:bookmarkEnd w:id="81"/>
            <w:bookmarkEnd w:id="82"/>
            <w:bookmarkEnd w:id="83"/>
          </w:p>
          <w:p w14:paraId="4F883BA5" w14:textId="77777777" w:rsidR="008220E6" w:rsidRPr="00F42AD0" w:rsidRDefault="008220E6" w:rsidP="00B764E8">
            <w:pPr>
              <w:ind w:left="576"/>
              <w:rPr>
                <w:rFonts w:ascii="Calibri" w:hAnsi="Calibri" w:cs="Calibri"/>
              </w:rPr>
            </w:pPr>
          </w:p>
        </w:tc>
      </w:tr>
      <w:tr w:rsidR="008220E6" w:rsidRPr="00C5798B" w14:paraId="54378301" w14:textId="77777777" w:rsidTr="00B764E8">
        <w:tc>
          <w:tcPr>
            <w:tcW w:w="2089" w:type="dxa"/>
            <w:shd w:val="clear" w:color="auto" w:fill="auto"/>
          </w:tcPr>
          <w:p w14:paraId="1614739F" w14:textId="77777777" w:rsidR="008220E6" w:rsidRPr="00C5798B" w:rsidRDefault="008220E6" w:rsidP="00B764E8">
            <w:pPr>
              <w:jc w:val="both"/>
              <w:rPr>
                <w:rFonts w:ascii="Calibri" w:hAnsi="Calibri" w:cs="Calibri"/>
              </w:rPr>
            </w:pPr>
            <w:r w:rsidRPr="00C5798B">
              <w:rPr>
                <w:rFonts w:ascii="Calibri" w:hAnsi="Calibri" w:cs="Calibri"/>
              </w:rPr>
              <w:lastRenderedPageBreak/>
              <w:t>Indikátory</w:t>
            </w:r>
          </w:p>
        </w:tc>
        <w:tc>
          <w:tcPr>
            <w:tcW w:w="3058" w:type="dxa"/>
            <w:shd w:val="clear" w:color="auto" w:fill="auto"/>
          </w:tcPr>
          <w:p w14:paraId="29A465D7" w14:textId="77777777" w:rsidR="008220E6" w:rsidRPr="00C5798B" w:rsidRDefault="008220E6" w:rsidP="00B764E8">
            <w:pPr>
              <w:jc w:val="both"/>
              <w:rPr>
                <w:rFonts w:ascii="Calibri" w:hAnsi="Calibri" w:cs="Calibri"/>
              </w:rPr>
            </w:pPr>
            <w:r w:rsidRPr="00C5798B">
              <w:rPr>
                <w:rFonts w:ascii="Calibri" w:hAnsi="Calibri" w:cs="Calibri"/>
              </w:rPr>
              <w:t>Vytvořit návodnou sadu indikátorů, z níž budou poskytovatelé vybírat relevantní indikátory, a která umožní hodnocení výsledků a dopadů na úrovni jednotlivých oblastí a na celkové úrovni.</w:t>
            </w:r>
          </w:p>
        </w:tc>
        <w:tc>
          <w:tcPr>
            <w:tcW w:w="1594" w:type="dxa"/>
            <w:shd w:val="clear" w:color="auto" w:fill="auto"/>
          </w:tcPr>
          <w:p w14:paraId="22E3C319" w14:textId="023D55E3" w:rsidR="008220E6" w:rsidRPr="00C5798B" w:rsidRDefault="008220E6" w:rsidP="00B764E8">
            <w:pPr>
              <w:jc w:val="both"/>
              <w:rPr>
                <w:rFonts w:ascii="Calibri" w:hAnsi="Calibri" w:cs="Calibri"/>
              </w:rPr>
            </w:pPr>
            <w:r w:rsidRPr="00C5798B">
              <w:rPr>
                <w:rFonts w:ascii="Calibri" w:hAnsi="Calibri" w:cs="Calibri"/>
              </w:rPr>
              <w:t>Komunikačně-metodická platforma/</w:t>
            </w:r>
            <w:r w:rsidR="00F468C3">
              <w:rPr>
                <w:rFonts w:ascii="Calibri" w:hAnsi="Calibri" w:cs="Calibri"/>
              </w:rPr>
              <w:t>ÚV-</w:t>
            </w:r>
            <w:r w:rsidRPr="00C5798B">
              <w:rPr>
                <w:rFonts w:ascii="Calibri" w:hAnsi="Calibri" w:cs="Calibri"/>
              </w:rPr>
              <w:t>SVVI</w:t>
            </w:r>
          </w:p>
        </w:tc>
        <w:tc>
          <w:tcPr>
            <w:tcW w:w="3035" w:type="dxa"/>
            <w:shd w:val="clear" w:color="auto" w:fill="auto"/>
          </w:tcPr>
          <w:p w14:paraId="6AB01AA9" w14:textId="061497D2" w:rsidR="008220E6" w:rsidRPr="00F42AD0" w:rsidRDefault="008220E6" w:rsidP="00804D9A">
            <w:pPr>
              <w:pStyle w:val="Nadpis2"/>
              <w:numPr>
                <w:ilvl w:val="0"/>
                <w:numId w:val="0"/>
              </w:numPr>
              <w:rPr>
                <w:b w:val="0"/>
                <w:sz w:val="22"/>
                <w:szCs w:val="22"/>
              </w:rPr>
            </w:pPr>
            <w:bookmarkStart w:id="88" w:name="_Toc190797539"/>
            <w:bookmarkStart w:id="89" w:name="_Toc190881131"/>
            <w:bookmarkStart w:id="90" w:name="_Toc192517101"/>
            <w:bookmarkStart w:id="91" w:name="_Toc194562186"/>
            <w:bookmarkStart w:id="92" w:name="_Toc195063194"/>
            <w:bookmarkStart w:id="93" w:name="_Toc195087092"/>
            <w:bookmarkStart w:id="94" w:name="_Toc195184967"/>
            <w:r w:rsidRPr="00F42AD0">
              <w:rPr>
                <w:rFonts w:ascii="Calibri" w:hAnsi="Calibri" w:cs="Calibri"/>
                <w:b w:val="0"/>
                <w:sz w:val="22"/>
                <w:szCs w:val="22"/>
              </w:rPr>
              <w:t>Viz</w:t>
            </w:r>
            <w:bookmarkEnd w:id="88"/>
            <w:bookmarkEnd w:id="89"/>
            <w:bookmarkEnd w:id="90"/>
            <w:bookmarkEnd w:id="91"/>
            <w:r w:rsidRPr="00F42AD0">
              <w:rPr>
                <w:rFonts w:ascii="Calibri" w:hAnsi="Calibri" w:cs="Calibri"/>
                <w:b w:val="0"/>
                <w:sz w:val="22"/>
                <w:szCs w:val="22"/>
              </w:rPr>
              <w:t xml:space="preserve"> </w:t>
            </w:r>
            <w:bookmarkStart w:id="95" w:name="_Toc190797540"/>
            <w:bookmarkStart w:id="96" w:name="_Toc190881132"/>
            <w:bookmarkStart w:id="97" w:name="_Toc192517102"/>
            <w:bookmarkStart w:id="98" w:name="_Toc194562187"/>
            <w:r>
              <w:rPr>
                <w:rFonts w:ascii="Calibri" w:hAnsi="Calibri" w:cs="Calibri"/>
                <w:b w:val="0"/>
                <w:sz w:val="22"/>
                <w:szCs w:val="22"/>
              </w:rPr>
              <w:t>MP, kap. 8 Realizace projektů</w:t>
            </w:r>
            <w:bookmarkEnd w:id="95"/>
            <w:bookmarkEnd w:id="96"/>
            <w:bookmarkEnd w:id="97"/>
            <w:bookmarkEnd w:id="98"/>
            <w:bookmarkEnd w:id="92"/>
            <w:bookmarkEnd w:id="93"/>
            <w:bookmarkEnd w:id="94"/>
          </w:p>
          <w:p w14:paraId="00FBBABD" w14:textId="77777777" w:rsidR="008220E6" w:rsidRPr="00C5798B" w:rsidRDefault="008220E6" w:rsidP="00B764E8">
            <w:pPr>
              <w:jc w:val="both"/>
              <w:rPr>
                <w:rFonts w:ascii="Calibri" w:hAnsi="Calibri" w:cs="Calibri"/>
              </w:rPr>
            </w:pPr>
          </w:p>
        </w:tc>
      </w:tr>
    </w:tbl>
    <w:p w14:paraId="529EFF51" w14:textId="11F2B49C" w:rsidR="008220E6" w:rsidRDefault="008220E6" w:rsidP="008220E6">
      <w:pPr>
        <w:jc w:val="both"/>
        <w:rPr>
          <w:rFonts w:ascii="Calibri" w:hAnsi="Calibri" w:cs="Calibri"/>
        </w:rPr>
      </w:pPr>
    </w:p>
    <w:p w14:paraId="60035405" w14:textId="77777777" w:rsidR="0077493A" w:rsidRDefault="0077493A" w:rsidP="008220E6">
      <w:pPr>
        <w:jc w:val="both"/>
        <w:rPr>
          <w:rFonts w:ascii="Calibri" w:hAnsi="Calibri" w:cs="Calibri"/>
        </w:rPr>
      </w:pPr>
    </w:p>
    <w:p w14:paraId="2B4DBCD1" w14:textId="50B2045B" w:rsidR="008220E6" w:rsidRDefault="008220E6" w:rsidP="008220E6">
      <w:pPr>
        <w:jc w:val="both"/>
        <w:rPr>
          <w:rFonts w:ascii="Calibri" w:hAnsi="Calibri" w:cs="Calibri"/>
        </w:rPr>
      </w:pPr>
      <w:r>
        <w:rPr>
          <w:rFonts w:ascii="Calibri" w:hAnsi="Calibri" w:cs="Calibri"/>
        </w:rPr>
        <w:t>III</w:t>
      </w:r>
      <w:r w:rsidRPr="00481B0B">
        <w:rPr>
          <w:rFonts w:ascii="Calibri" w:hAnsi="Calibri" w:cs="Calibri"/>
        </w:rPr>
        <w:t>.</w:t>
      </w:r>
      <w:r w:rsidR="00481B0B">
        <w:rPr>
          <w:rFonts w:ascii="Calibri" w:hAnsi="Calibri" w:cs="Calibri"/>
        </w:rPr>
        <w:t xml:space="preserve"> Ve třetí části jsou </w:t>
      </w:r>
      <w:r>
        <w:rPr>
          <w:rFonts w:ascii="Calibri" w:hAnsi="Calibri" w:cs="Calibri"/>
        </w:rPr>
        <w:t>uve</w:t>
      </w:r>
      <w:r w:rsidR="003C660B">
        <w:rPr>
          <w:rFonts w:ascii="Calibri" w:hAnsi="Calibri" w:cs="Calibri"/>
        </w:rPr>
        <w:t>dena</w:t>
      </w:r>
      <w:r>
        <w:rPr>
          <w:rFonts w:ascii="Calibri" w:hAnsi="Calibri" w:cs="Calibri"/>
        </w:rPr>
        <w:t xml:space="preserve"> opatření dosažit</w:t>
      </w:r>
      <w:r w:rsidR="00F70A60">
        <w:rPr>
          <w:rFonts w:ascii="Calibri" w:hAnsi="Calibri" w:cs="Calibri"/>
        </w:rPr>
        <w:t>elná ve střednědobém horizontu.</w:t>
      </w:r>
    </w:p>
    <w:tbl>
      <w:tblPr>
        <w:tblStyle w:val="Mkatabulky"/>
        <w:tblW w:w="9776" w:type="dxa"/>
        <w:shd w:val="clear" w:color="auto" w:fill="FFC000"/>
        <w:tblLook w:val="04A0" w:firstRow="1" w:lastRow="0" w:firstColumn="1" w:lastColumn="0" w:noHBand="0" w:noVBand="1"/>
      </w:tblPr>
      <w:tblGrid>
        <w:gridCol w:w="1980"/>
        <w:gridCol w:w="3118"/>
        <w:gridCol w:w="1560"/>
        <w:gridCol w:w="3118"/>
      </w:tblGrid>
      <w:tr w:rsidR="008220E6" w:rsidRPr="00C5798B" w14:paraId="67973587" w14:textId="77777777" w:rsidTr="003C660B">
        <w:tc>
          <w:tcPr>
            <w:tcW w:w="1980" w:type="dxa"/>
            <w:tcBorders>
              <w:bottom w:val="single" w:sz="4" w:space="0" w:color="auto"/>
            </w:tcBorders>
            <w:shd w:val="clear" w:color="auto" w:fill="FFFFFF" w:themeFill="background1"/>
          </w:tcPr>
          <w:p w14:paraId="60515F90" w14:textId="77777777" w:rsidR="008220E6" w:rsidRPr="00C5798B" w:rsidRDefault="008220E6" w:rsidP="00B764E8">
            <w:pPr>
              <w:jc w:val="both"/>
              <w:rPr>
                <w:rFonts w:ascii="Calibri" w:hAnsi="Calibri" w:cs="Calibri"/>
              </w:rPr>
            </w:pPr>
            <w:r w:rsidRPr="00C5798B">
              <w:rPr>
                <w:rFonts w:ascii="Calibri" w:hAnsi="Calibri" w:cs="Calibri"/>
                <w:b/>
                <w:bCs/>
              </w:rPr>
              <w:t>Téma</w:t>
            </w:r>
          </w:p>
        </w:tc>
        <w:tc>
          <w:tcPr>
            <w:tcW w:w="3118" w:type="dxa"/>
            <w:tcBorders>
              <w:bottom w:val="single" w:sz="4" w:space="0" w:color="auto"/>
            </w:tcBorders>
            <w:shd w:val="clear" w:color="auto" w:fill="FFFFFF" w:themeFill="background1"/>
          </w:tcPr>
          <w:p w14:paraId="2CCBF5A6" w14:textId="77777777" w:rsidR="008220E6" w:rsidRPr="00C5798B" w:rsidRDefault="008220E6" w:rsidP="00B764E8">
            <w:pPr>
              <w:jc w:val="both"/>
              <w:rPr>
                <w:rFonts w:ascii="Calibri" w:hAnsi="Calibri" w:cs="Calibri"/>
              </w:rPr>
            </w:pPr>
            <w:r w:rsidRPr="00C5798B">
              <w:rPr>
                <w:rFonts w:ascii="Calibri" w:hAnsi="Calibri" w:cs="Calibri"/>
                <w:b/>
                <w:bCs/>
              </w:rPr>
              <w:t>Doporučení</w:t>
            </w:r>
          </w:p>
        </w:tc>
        <w:tc>
          <w:tcPr>
            <w:tcW w:w="1560" w:type="dxa"/>
            <w:tcBorders>
              <w:bottom w:val="single" w:sz="4" w:space="0" w:color="auto"/>
            </w:tcBorders>
            <w:shd w:val="clear" w:color="auto" w:fill="FFFFFF" w:themeFill="background1"/>
          </w:tcPr>
          <w:p w14:paraId="279BAF15" w14:textId="77777777" w:rsidR="008220E6" w:rsidRPr="00C5798B" w:rsidRDefault="008220E6" w:rsidP="00B764E8">
            <w:pPr>
              <w:jc w:val="both"/>
              <w:rPr>
                <w:rFonts w:ascii="Calibri" w:hAnsi="Calibri" w:cs="Calibri"/>
              </w:rPr>
            </w:pPr>
            <w:r w:rsidRPr="00C5798B">
              <w:rPr>
                <w:rFonts w:ascii="Calibri" w:hAnsi="Calibri" w:cs="Calibri"/>
                <w:b/>
                <w:bCs/>
              </w:rPr>
              <w:t>Adresát doporučení</w:t>
            </w:r>
          </w:p>
        </w:tc>
        <w:tc>
          <w:tcPr>
            <w:tcW w:w="3118" w:type="dxa"/>
            <w:tcBorders>
              <w:bottom w:val="single" w:sz="4" w:space="0" w:color="auto"/>
            </w:tcBorders>
            <w:shd w:val="clear" w:color="auto" w:fill="FFFFFF" w:themeFill="background1"/>
          </w:tcPr>
          <w:p w14:paraId="1A9880F0" w14:textId="77777777" w:rsidR="008220E6" w:rsidRPr="00C5798B" w:rsidRDefault="008220E6" w:rsidP="00B764E8">
            <w:pPr>
              <w:jc w:val="both"/>
              <w:rPr>
                <w:rFonts w:ascii="Calibri" w:hAnsi="Calibri" w:cs="Calibri"/>
                <w:b/>
                <w:bCs/>
              </w:rPr>
            </w:pPr>
            <w:r>
              <w:rPr>
                <w:rFonts w:ascii="Calibri" w:hAnsi="Calibri" w:cs="Calibri"/>
                <w:b/>
                <w:bCs/>
              </w:rPr>
              <w:t>Odkaz, kde a jak je doporučení využito</w:t>
            </w:r>
          </w:p>
        </w:tc>
      </w:tr>
      <w:tr w:rsidR="008220E6" w:rsidRPr="00C5798B" w14:paraId="5F1F9E45" w14:textId="77777777" w:rsidTr="00B764E8">
        <w:tc>
          <w:tcPr>
            <w:tcW w:w="1980" w:type="dxa"/>
            <w:shd w:val="clear" w:color="auto" w:fill="auto"/>
          </w:tcPr>
          <w:p w14:paraId="2EED5AAE" w14:textId="77777777" w:rsidR="008220E6" w:rsidRPr="00C5798B" w:rsidRDefault="008220E6" w:rsidP="00B764E8">
            <w:pPr>
              <w:jc w:val="both"/>
              <w:rPr>
                <w:rFonts w:ascii="Calibri" w:hAnsi="Calibri" w:cs="Calibri"/>
              </w:rPr>
            </w:pPr>
            <w:r w:rsidRPr="00C5798B">
              <w:rPr>
                <w:rFonts w:ascii="Calibri" w:hAnsi="Calibri" w:cs="Calibri"/>
              </w:rPr>
              <w:t>Struktura a obsah zadávací dokumentace</w:t>
            </w:r>
          </w:p>
        </w:tc>
        <w:tc>
          <w:tcPr>
            <w:tcW w:w="3118" w:type="dxa"/>
            <w:shd w:val="clear" w:color="auto" w:fill="auto"/>
          </w:tcPr>
          <w:p w14:paraId="62BC887F" w14:textId="70CE8A56" w:rsidR="008220E6" w:rsidRPr="00C5798B" w:rsidRDefault="008220E6" w:rsidP="00B764E8">
            <w:pPr>
              <w:jc w:val="both"/>
              <w:rPr>
                <w:rFonts w:ascii="Calibri" w:hAnsi="Calibri" w:cs="Calibri"/>
              </w:rPr>
            </w:pPr>
            <w:r w:rsidRPr="00C5798B">
              <w:rPr>
                <w:rFonts w:ascii="Calibri" w:hAnsi="Calibri" w:cs="Calibri"/>
              </w:rPr>
              <w:t xml:space="preserve">Text veřejné soutěže strukturovat do dvou </w:t>
            </w:r>
            <w:proofErr w:type="spellStart"/>
            <w:r w:rsidRPr="00C5798B">
              <w:rPr>
                <w:rFonts w:ascii="Calibri" w:hAnsi="Calibri" w:cs="Calibri"/>
              </w:rPr>
              <w:t>částí-věcné</w:t>
            </w:r>
            <w:proofErr w:type="spellEnd"/>
            <w:r w:rsidRPr="00C5798B">
              <w:rPr>
                <w:rFonts w:ascii="Calibri" w:hAnsi="Calibri" w:cs="Calibri"/>
              </w:rPr>
              <w:t xml:space="preserve"> zaměření veřejné soutěže a specificky zaměřené přílohy. Zadávací dokumentace musí být jasná, stručná a snadno uchopitelná pro žadatele. </w:t>
            </w:r>
          </w:p>
        </w:tc>
        <w:tc>
          <w:tcPr>
            <w:tcW w:w="1560" w:type="dxa"/>
            <w:shd w:val="clear" w:color="auto" w:fill="auto"/>
          </w:tcPr>
          <w:p w14:paraId="75CD4E52"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7553293E" w14:textId="17EDBBB4" w:rsidR="008220E6" w:rsidRPr="007757B8" w:rsidRDefault="008220E6" w:rsidP="00804D9A">
            <w:pPr>
              <w:rPr>
                <w:b/>
              </w:rPr>
            </w:pPr>
            <w:r>
              <w:t>Viz MP, kap. 6 Veřejné soutěže a veřejné zakázky účelové podpory</w:t>
            </w:r>
            <w:r w:rsidR="00804D9A">
              <w:t xml:space="preserve">, </w:t>
            </w:r>
            <w:bookmarkStart w:id="99" w:name="_Toc190797541"/>
            <w:bookmarkStart w:id="100" w:name="_Toc190881133"/>
            <w:bookmarkStart w:id="101" w:name="_Toc192517103"/>
            <w:bookmarkStart w:id="102" w:name="_Toc194562188"/>
            <w:bookmarkStart w:id="103" w:name="_Toc195063195"/>
            <w:r>
              <w:t>6.2</w:t>
            </w:r>
            <w:r w:rsidRPr="007757B8">
              <w:t xml:space="preserve"> Příprava veřejné soutěže</w:t>
            </w:r>
            <w:bookmarkEnd w:id="99"/>
            <w:bookmarkEnd w:id="100"/>
            <w:bookmarkEnd w:id="101"/>
            <w:bookmarkEnd w:id="102"/>
            <w:bookmarkEnd w:id="103"/>
          </w:p>
          <w:p w14:paraId="1262155B" w14:textId="77777777" w:rsidR="008220E6" w:rsidRPr="0063272A" w:rsidRDefault="008220E6" w:rsidP="00B764E8">
            <w:pPr>
              <w:pStyle w:val="Nadpis3"/>
              <w:numPr>
                <w:ilvl w:val="0"/>
                <w:numId w:val="0"/>
              </w:numPr>
              <w:rPr>
                <w:b w:val="0"/>
                <w:sz w:val="22"/>
                <w:szCs w:val="22"/>
              </w:rPr>
            </w:pPr>
          </w:p>
          <w:p w14:paraId="57D9F1D7" w14:textId="77777777" w:rsidR="008220E6" w:rsidRPr="0063272A" w:rsidRDefault="008220E6" w:rsidP="00B764E8">
            <w:pPr>
              <w:jc w:val="both"/>
              <w:rPr>
                <w:rFonts w:ascii="Calibri" w:hAnsi="Calibri" w:cs="Calibri"/>
              </w:rPr>
            </w:pPr>
          </w:p>
        </w:tc>
      </w:tr>
      <w:tr w:rsidR="008220E6" w:rsidRPr="00C5798B" w14:paraId="3F0D6C7D" w14:textId="77777777" w:rsidTr="00B764E8">
        <w:tc>
          <w:tcPr>
            <w:tcW w:w="1980" w:type="dxa"/>
            <w:shd w:val="clear" w:color="auto" w:fill="auto"/>
          </w:tcPr>
          <w:p w14:paraId="5B079CC0" w14:textId="77777777" w:rsidR="008220E6" w:rsidRPr="00C5798B" w:rsidRDefault="008220E6" w:rsidP="00B764E8">
            <w:pPr>
              <w:jc w:val="both"/>
              <w:rPr>
                <w:rFonts w:ascii="Calibri" w:hAnsi="Calibri" w:cs="Calibri"/>
              </w:rPr>
            </w:pPr>
            <w:r w:rsidRPr="00C5798B">
              <w:rPr>
                <w:rFonts w:ascii="Calibri" w:hAnsi="Calibri" w:cs="Calibri"/>
              </w:rPr>
              <w:t>Struktura projektové žádosti</w:t>
            </w:r>
          </w:p>
        </w:tc>
        <w:tc>
          <w:tcPr>
            <w:tcW w:w="3118" w:type="dxa"/>
            <w:shd w:val="clear" w:color="auto" w:fill="auto"/>
          </w:tcPr>
          <w:p w14:paraId="4E1549DD" w14:textId="77777777" w:rsidR="008220E6" w:rsidRPr="00C5798B" w:rsidRDefault="008220E6" w:rsidP="00B764E8">
            <w:pPr>
              <w:jc w:val="both"/>
              <w:rPr>
                <w:rFonts w:ascii="Calibri" w:hAnsi="Calibri" w:cs="Calibri"/>
              </w:rPr>
            </w:pPr>
            <w:r w:rsidRPr="00C5798B">
              <w:rPr>
                <w:rFonts w:ascii="Calibri" w:hAnsi="Calibri" w:cs="Calibri"/>
              </w:rPr>
              <w:t xml:space="preserve">Projektovou žádost strukturovat na obecnou část a odbornou (věcnou) část. V obecné části budou obsaženy informace pro hodnocení přijatelnosti, tj. formální kontrolu, odborná (věcná) část pak bude předmětem odborného hodnocení. </w:t>
            </w:r>
          </w:p>
        </w:tc>
        <w:tc>
          <w:tcPr>
            <w:tcW w:w="1560" w:type="dxa"/>
            <w:shd w:val="clear" w:color="auto" w:fill="auto"/>
          </w:tcPr>
          <w:p w14:paraId="21BF9481"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4DB0DDF2" w14:textId="77777777" w:rsidR="008220E6" w:rsidRPr="0063272A" w:rsidRDefault="008220E6" w:rsidP="00B764E8">
            <w:r>
              <w:t>Viz MP, kap. 6 Veřejné soutěže a veřejné zakázky účelové podpory</w:t>
            </w:r>
          </w:p>
          <w:p w14:paraId="153F78E3" w14:textId="77777777" w:rsidR="008220E6" w:rsidRPr="00C5798B" w:rsidRDefault="008220E6" w:rsidP="00B764E8">
            <w:pPr>
              <w:jc w:val="both"/>
              <w:rPr>
                <w:rFonts w:ascii="Calibri" w:hAnsi="Calibri" w:cs="Calibri"/>
              </w:rPr>
            </w:pPr>
          </w:p>
        </w:tc>
      </w:tr>
      <w:tr w:rsidR="008220E6" w:rsidRPr="00C5798B" w14:paraId="06631FE3" w14:textId="77777777" w:rsidTr="00B764E8">
        <w:tc>
          <w:tcPr>
            <w:tcW w:w="1980" w:type="dxa"/>
            <w:shd w:val="clear" w:color="auto" w:fill="auto"/>
          </w:tcPr>
          <w:p w14:paraId="0107D0F4" w14:textId="77777777" w:rsidR="008220E6" w:rsidRPr="00C5798B" w:rsidRDefault="008220E6" w:rsidP="00B764E8">
            <w:pPr>
              <w:jc w:val="both"/>
              <w:rPr>
                <w:rFonts w:ascii="Calibri" w:hAnsi="Calibri" w:cs="Calibri"/>
              </w:rPr>
            </w:pPr>
            <w:r w:rsidRPr="00C5798B">
              <w:rPr>
                <w:rFonts w:ascii="Calibri" w:hAnsi="Calibri" w:cs="Calibri"/>
              </w:rPr>
              <w:t>Povinné přílohy k projektové žádosti</w:t>
            </w:r>
          </w:p>
        </w:tc>
        <w:tc>
          <w:tcPr>
            <w:tcW w:w="3118" w:type="dxa"/>
            <w:shd w:val="clear" w:color="auto" w:fill="auto"/>
          </w:tcPr>
          <w:p w14:paraId="23E7D671" w14:textId="77777777" w:rsidR="008220E6" w:rsidRPr="00C5798B" w:rsidRDefault="008220E6" w:rsidP="00B764E8">
            <w:pPr>
              <w:jc w:val="both"/>
              <w:rPr>
                <w:rFonts w:ascii="Calibri" w:hAnsi="Calibri" w:cs="Calibri"/>
              </w:rPr>
            </w:pPr>
            <w:r w:rsidRPr="00C5798B">
              <w:rPr>
                <w:rFonts w:ascii="Calibri" w:hAnsi="Calibri" w:cs="Calibri"/>
              </w:rPr>
              <w:t>Termíny dokládání povinných příloh k projektové žádosti svázat se skutečnou potřebou dodání informací uvedených v těchto přílohách pro hodnocení projektových žádostí.</w:t>
            </w:r>
          </w:p>
        </w:tc>
        <w:tc>
          <w:tcPr>
            <w:tcW w:w="1560" w:type="dxa"/>
            <w:shd w:val="clear" w:color="auto" w:fill="auto"/>
          </w:tcPr>
          <w:p w14:paraId="101A7091"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615D1C8A" w14:textId="77777777" w:rsidR="008220E6" w:rsidRPr="0063272A" w:rsidRDefault="008220E6" w:rsidP="00B764E8">
            <w:r>
              <w:t>Viz MP, kap. 6 Veřejné soutěže a veřejné zakázky účelové podpory</w:t>
            </w:r>
          </w:p>
          <w:p w14:paraId="4C1CC29F" w14:textId="77777777" w:rsidR="008220E6" w:rsidRPr="00C5798B" w:rsidRDefault="008220E6" w:rsidP="00B764E8">
            <w:pPr>
              <w:jc w:val="both"/>
              <w:rPr>
                <w:rFonts w:ascii="Calibri" w:hAnsi="Calibri" w:cs="Calibri"/>
              </w:rPr>
            </w:pPr>
          </w:p>
        </w:tc>
      </w:tr>
      <w:tr w:rsidR="008220E6" w:rsidRPr="00C5798B" w14:paraId="2157B661" w14:textId="77777777" w:rsidTr="00B764E8">
        <w:tc>
          <w:tcPr>
            <w:tcW w:w="1980" w:type="dxa"/>
            <w:shd w:val="clear" w:color="auto" w:fill="auto"/>
          </w:tcPr>
          <w:p w14:paraId="23CAFDF1" w14:textId="77777777" w:rsidR="008220E6" w:rsidRPr="00C5798B" w:rsidRDefault="008220E6" w:rsidP="00B764E8">
            <w:pPr>
              <w:jc w:val="both"/>
              <w:rPr>
                <w:rFonts w:ascii="Calibri" w:hAnsi="Calibri" w:cs="Calibri"/>
              </w:rPr>
            </w:pPr>
            <w:r w:rsidRPr="00C5798B">
              <w:rPr>
                <w:rFonts w:ascii="Calibri" w:hAnsi="Calibri" w:cs="Calibri"/>
              </w:rPr>
              <w:t xml:space="preserve">Databáze hodnotitelů </w:t>
            </w:r>
          </w:p>
        </w:tc>
        <w:tc>
          <w:tcPr>
            <w:tcW w:w="3118" w:type="dxa"/>
            <w:shd w:val="clear" w:color="auto" w:fill="auto"/>
          </w:tcPr>
          <w:p w14:paraId="3D7CBC0D" w14:textId="77777777" w:rsidR="008220E6" w:rsidRPr="00C5798B" w:rsidRDefault="008220E6" w:rsidP="00B764E8">
            <w:pPr>
              <w:jc w:val="both"/>
              <w:rPr>
                <w:rFonts w:ascii="Calibri" w:hAnsi="Calibri" w:cs="Calibri"/>
              </w:rPr>
            </w:pPr>
            <w:r w:rsidRPr="00C5798B">
              <w:rPr>
                <w:rFonts w:ascii="Calibri" w:hAnsi="Calibri" w:cs="Calibri"/>
              </w:rPr>
              <w:t xml:space="preserve">Sdílet databázi hodnotitelů (resp. nezávislých expertů zapojených do procesu hodnocení projektů, a to jak ve smyslu oponentů, tak také členů hodnotících panelů či expertů vypracovávajících různé posudky na projekty či jejich výsledky) mezi jednotlivými poskytovateli. </w:t>
            </w:r>
          </w:p>
        </w:tc>
        <w:tc>
          <w:tcPr>
            <w:tcW w:w="1560" w:type="dxa"/>
            <w:shd w:val="clear" w:color="auto" w:fill="auto"/>
          </w:tcPr>
          <w:p w14:paraId="75470CB8"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41BFF26B" w14:textId="41D0FB4F" w:rsidR="008220E6" w:rsidRPr="0063272A" w:rsidRDefault="008220E6" w:rsidP="00B764E8">
            <w:r>
              <w:t xml:space="preserve">Viz MP, kap. 7 </w:t>
            </w:r>
            <w:r w:rsidRPr="0063272A">
              <w:t>Hodnocení</w:t>
            </w:r>
            <w:r>
              <w:t xml:space="preserve"> a</w:t>
            </w:r>
            <w:r w:rsidR="00804D9A">
              <w:t> </w:t>
            </w:r>
            <w:r w:rsidRPr="0063272A">
              <w:t>práce s hodnotiteli</w:t>
            </w:r>
          </w:p>
          <w:p w14:paraId="7BC3CB35" w14:textId="77777777" w:rsidR="008220E6" w:rsidRPr="00C5798B" w:rsidRDefault="008220E6" w:rsidP="00B764E8">
            <w:pPr>
              <w:jc w:val="both"/>
              <w:rPr>
                <w:rFonts w:ascii="Calibri" w:hAnsi="Calibri" w:cs="Calibri"/>
              </w:rPr>
            </w:pPr>
          </w:p>
        </w:tc>
      </w:tr>
      <w:tr w:rsidR="008220E6" w:rsidRPr="00C5798B" w14:paraId="6FD123C5" w14:textId="77777777" w:rsidTr="00B764E8">
        <w:tc>
          <w:tcPr>
            <w:tcW w:w="1980" w:type="dxa"/>
            <w:shd w:val="clear" w:color="auto" w:fill="auto"/>
          </w:tcPr>
          <w:p w14:paraId="3CFC601C" w14:textId="77777777" w:rsidR="008220E6" w:rsidRPr="00C5798B" w:rsidRDefault="008220E6" w:rsidP="00B764E8">
            <w:pPr>
              <w:jc w:val="both"/>
              <w:rPr>
                <w:rFonts w:ascii="Calibri" w:hAnsi="Calibri" w:cs="Calibri"/>
              </w:rPr>
            </w:pPr>
            <w:r>
              <w:rPr>
                <w:rFonts w:ascii="Calibri" w:hAnsi="Calibri" w:cs="Calibri"/>
              </w:rPr>
              <w:t>Hodnotitelé</w:t>
            </w:r>
          </w:p>
        </w:tc>
        <w:tc>
          <w:tcPr>
            <w:tcW w:w="3118" w:type="dxa"/>
            <w:shd w:val="clear" w:color="auto" w:fill="auto"/>
          </w:tcPr>
          <w:p w14:paraId="38FFE6D7" w14:textId="77777777" w:rsidR="008220E6" w:rsidRPr="00C5798B" w:rsidRDefault="008220E6" w:rsidP="00B764E8">
            <w:pPr>
              <w:jc w:val="both"/>
              <w:rPr>
                <w:rFonts w:ascii="Calibri" w:hAnsi="Calibri" w:cs="Calibri"/>
              </w:rPr>
            </w:pPr>
            <w:r w:rsidRPr="005F0BDF">
              <w:t>Sjednocení pravidel ke střetu zájmů.</w:t>
            </w:r>
          </w:p>
        </w:tc>
        <w:tc>
          <w:tcPr>
            <w:tcW w:w="1560" w:type="dxa"/>
            <w:shd w:val="clear" w:color="auto" w:fill="auto"/>
          </w:tcPr>
          <w:p w14:paraId="4C47A9AF" w14:textId="65E205EA" w:rsidR="008220E6" w:rsidRPr="00C5798B" w:rsidRDefault="008220E6" w:rsidP="00B764E8">
            <w:pPr>
              <w:jc w:val="both"/>
              <w:rPr>
                <w:rFonts w:ascii="Calibri" w:hAnsi="Calibri" w:cs="Calibri"/>
              </w:rPr>
            </w:pPr>
            <w:r w:rsidRPr="00C5798B">
              <w:rPr>
                <w:rFonts w:ascii="Calibri" w:hAnsi="Calibri" w:cs="Calibri"/>
              </w:rPr>
              <w:t>Komunikačně-metodická platforma/ÚV</w:t>
            </w:r>
            <w:r w:rsidR="00F468C3">
              <w:rPr>
                <w:rFonts w:ascii="Calibri" w:hAnsi="Calibri" w:cs="Calibri"/>
              </w:rPr>
              <w:t>-SVVI</w:t>
            </w:r>
          </w:p>
        </w:tc>
        <w:tc>
          <w:tcPr>
            <w:tcW w:w="3118" w:type="dxa"/>
            <w:shd w:val="clear" w:color="auto" w:fill="auto"/>
          </w:tcPr>
          <w:p w14:paraId="171C3DB0" w14:textId="77777777" w:rsidR="00804D9A" w:rsidRDefault="008220E6" w:rsidP="00B764E8">
            <w:r>
              <w:t>Viz MP</w:t>
            </w:r>
          </w:p>
          <w:p w14:paraId="744587C5" w14:textId="4A6BD11B" w:rsidR="008220E6" w:rsidRDefault="00804D9A" w:rsidP="00B764E8">
            <w:r>
              <w:t xml:space="preserve">- </w:t>
            </w:r>
            <w:r w:rsidR="008220E6">
              <w:t xml:space="preserve">kap. 7 </w:t>
            </w:r>
            <w:r w:rsidR="008220E6" w:rsidRPr="0063272A">
              <w:t>Hodnocení</w:t>
            </w:r>
            <w:r w:rsidR="008220E6">
              <w:t xml:space="preserve"> a </w:t>
            </w:r>
            <w:r w:rsidR="008220E6" w:rsidRPr="0063272A">
              <w:t>práce s hodnotiteli</w:t>
            </w:r>
          </w:p>
          <w:p w14:paraId="21BF25C3" w14:textId="293DC389" w:rsidR="008220E6" w:rsidRPr="0063272A" w:rsidRDefault="00804D9A" w:rsidP="00B764E8">
            <w:r>
              <w:t xml:space="preserve">- </w:t>
            </w:r>
            <w:r w:rsidR="008220E6">
              <w:t>kap. 6 Veřejné soutěže a veřejné zakázky účelové podpory (6.1)</w:t>
            </w:r>
          </w:p>
          <w:p w14:paraId="3D187F1C" w14:textId="77777777" w:rsidR="008220E6" w:rsidRDefault="008220E6" w:rsidP="00B764E8"/>
        </w:tc>
      </w:tr>
      <w:tr w:rsidR="008220E6" w:rsidRPr="00C5798B" w14:paraId="3FD9785F" w14:textId="77777777" w:rsidTr="00B764E8">
        <w:tc>
          <w:tcPr>
            <w:tcW w:w="1980" w:type="dxa"/>
            <w:shd w:val="clear" w:color="auto" w:fill="auto"/>
          </w:tcPr>
          <w:p w14:paraId="45562B29" w14:textId="77777777" w:rsidR="008220E6" w:rsidRPr="00C5798B" w:rsidRDefault="008220E6" w:rsidP="00B764E8">
            <w:pPr>
              <w:jc w:val="both"/>
              <w:rPr>
                <w:rFonts w:ascii="Calibri" w:hAnsi="Calibri" w:cs="Calibri"/>
              </w:rPr>
            </w:pPr>
            <w:r w:rsidRPr="00C5798B">
              <w:rPr>
                <w:rFonts w:ascii="Calibri" w:hAnsi="Calibri" w:cs="Calibri"/>
              </w:rPr>
              <w:lastRenderedPageBreak/>
              <w:t>Hodnotící kritéria</w:t>
            </w:r>
          </w:p>
        </w:tc>
        <w:tc>
          <w:tcPr>
            <w:tcW w:w="3118" w:type="dxa"/>
            <w:shd w:val="clear" w:color="auto" w:fill="auto"/>
          </w:tcPr>
          <w:p w14:paraId="15C2A1A2" w14:textId="77777777" w:rsidR="008220E6" w:rsidRPr="00C5798B" w:rsidRDefault="008220E6" w:rsidP="00B764E8">
            <w:pPr>
              <w:jc w:val="both"/>
              <w:rPr>
                <w:rFonts w:ascii="Calibri" w:hAnsi="Calibri" w:cs="Calibri"/>
              </w:rPr>
            </w:pPr>
            <w:r w:rsidRPr="00C5798B">
              <w:rPr>
                <w:rFonts w:ascii="Calibri" w:hAnsi="Calibri" w:cs="Calibri"/>
              </w:rPr>
              <w:t xml:space="preserve">Projektové žádosti v programech aplikovaného </w:t>
            </w:r>
            <w:proofErr w:type="spellStart"/>
            <w:r w:rsidRPr="00C5798B">
              <w:rPr>
                <w:rFonts w:ascii="Calibri" w:hAnsi="Calibri" w:cs="Calibri"/>
              </w:rPr>
              <w:t>VaV</w:t>
            </w:r>
            <w:proofErr w:type="spellEnd"/>
            <w:r w:rsidRPr="00C5798B">
              <w:rPr>
                <w:rFonts w:ascii="Calibri" w:hAnsi="Calibri" w:cs="Calibri"/>
              </w:rPr>
              <w:t xml:space="preserve"> hodnotit dle základních kritérií – složení řešitelského týmu a způsob realizace (implementace), metodický postup (excelence) a uplatnění výsledku (dopad). Projekty v programech základního výzkumu (skupinách grantových projektů) hodnotit např. podle excelence či řešitelského týmu. </w:t>
            </w:r>
          </w:p>
        </w:tc>
        <w:tc>
          <w:tcPr>
            <w:tcW w:w="1560" w:type="dxa"/>
            <w:shd w:val="clear" w:color="auto" w:fill="auto"/>
          </w:tcPr>
          <w:p w14:paraId="66BF803E"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5BA7B3CC" w14:textId="77777777" w:rsidR="008220E6" w:rsidRPr="0063272A" w:rsidRDefault="008220E6" w:rsidP="00B764E8">
            <w:r>
              <w:t xml:space="preserve">Viz MP, kap. 7 </w:t>
            </w:r>
            <w:r w:rsidRPr="0063272A">
              <w:t>Hodnocení</w:t>
            </w:r>
            <w:r>
              <w:t xml:space="preserve"> a </w:t>
            </w:r>
            <w:r w:rsidRPr="0063272A">
              <w:t>práce s hodnotiteli</w:t>
            </w:r>
          </w:p>
          <w:p w14:paraId="4BA97AD1" w14:textId="77777777" w:rsidR="008220E6" w:rsidRPr="00C5798B" w:rsidRDefault="008220E6" w:rsidP="00B764E8">
            <w:pPr>
              <w:jc w:val="both"/>
              <w:rPr>
                <w:rFonts w:ascii="Calibri" w:hAnsi="Calibri" w:cs="Calibri"/>
              </w:rPr>
            </w:pPr>
          </w:p>
        </w:tc>
      </w:tr>
      <w:tr w:rsidR="008220E6" w:rsidRPr="00C5798B" w14:paraId="32F39B3F" w14:textId="77777777" w:rsidTr="00B764E8">
        <w:tc>
          <w:tcPr>
            <w:tcW w:w="1980" w:type="dxa"/>
            <w:shd w:val="clear" w:color="auto" w:fill="auto"/>
          </w:tcPr>
          <w:p w14:paraId="14EBA330" w14:textId="77777777" w:rsidR="008220E6" w:rsidRPr="00C5798B" w:rsidRDefault="008220E6" w:rsidP="00B764E8">
            <w:pPr>
              <w:jc w:val="both"/>
              <w:rPr>
                <w:rFonts w:ascii="Calibri" w:hAnsi="Calibri" w:cs="Calibri"/>
              </w:rPr>
            </w:pPr>
            <w:r w:rsidRPr="00C5798B">
              <w:rPr>
                <w:rFonts w:ascii="Calibri" w:hAnsi="Calibri" w:cs="Calibri"/>
              </w:rPr>
              <w:t>Kontroly projektů</w:t>
            </w:r>
          </w:p>
        </w:tc>
        <w:tc>
          <w:tcPr>
            <w:tcW w:w="3118" w:type="dxa"/>
            <w:shd w:val="clear" w:color="auto" w:fill="auto"/>
          </w:tcPr>
          <w:p w14:paraId="2EE037A3" w14:textId="77777777" w:rsidR="008220E6" w:rsidRPr="00C5798B" w:rsidRDefault="008220E6" w:rsidP="00B764E8">
            <w:pPr>
              <w:jc w:val="both"/>
              <w:rPr>
                <w:rFonts w:ascii="Calibri" w:hAnsi="Calibri" w:cs="Calibri"/>
              </w:rPr>
            </w:pPr>
            <w:r w:rsidRPr="00C5798B">
              <w:rPr>
                <w:rFonts w:ascii="Calibri" w:hAnsi="Calibri" w:cs="Calibri"/>
              </w:rPr>
              <w:t>Průběžné a závěrečné hodnocení projektů provádět podle hodnotících kritérií konkrétní veřejné soutěže.</w:t>
            </w:r>
            <w:r w:rsidRPr="009F631D">
              <w:rPr>
                <w:rFonts w:cstheme="minorHAnsi"/>
                <w:b/>
                <w:highlight w:val="magenta"/>
              </w:rPr>
              <w:t xml:space="preserve"> </w:t>
            </w:r>
            <w:r w:rsidRPr="00F90C35">
              <w:rPr>
                <w:rFonts w:cstheme="minorHAnsi"/>
              </w:rPr>
              <w:t>Stanovit základní podmínky pro změnová řízení</w:t>
            </w:r>
          </w:p>
        </w:tc>
        <w:tc>
          <w:tcPr>
            <w:tcW w:w="1560" w:type="dxa"/>
            <w:shd w:val="clear" w:color="auto" w:fill="auto"/>
          </w:tcPr>
          <w:p w14:paraId="6AC341D4"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094C1A50" w14:textId="77777777" w:rsidR="00804D9A" w:rsidRDefault="008220E6" w:rsidP="00B764E8">
            <w:r>
              <w:t xml:space="preserve">Viz MP </w:t>
            </w:r>
          </w:p>
          <w:p w14:paraId="14868232" w14:textId="7FB5D398" w:rsidR="008220E6" w:rsidRPr="0063272A" w:rsidRDefault="00804D9A" w:rsidP="00B764E8">
            <w:r>
              <w:t xml:space="preserve">- </w:t>
            </w:r>
            <w:r w:rsidR="008220E6">
              <w:t>kap. 8.2 Věcné a finanční kontroly projektů</w:t>
            </w:r>
          </w:p>
          <w:p w14:paraId="073D8545" w14:textId="0607F804" w:rsidR="008220E6" w:rsidRPr="00F90C35" w:rsidRDefault="00804D9A" w:rsidP="00B764E8">
            <w:pPr>
              <w:pStyle w:val="Nadpis2"/>
              <w:numPr>
                <w:ilvl w:val="0"/>
                <w:numId w:val="0"/>
              </w:numPr>
              <w:rPr>
                <w:b w:val="0"/>
                <w:sz w:val="22"/>
                <w:szCs w:val="22"/>
              </w:rPr>
            </w:pPr>
            <w:bookmarkStart w:id="104" w:name="_Toc190797542"/>
            <w:bookmarkStart w:id="105" w:name="_Toc190881134"/>
            <w:bookmarkStart w:id="106" w:name="_Toc192517104"/>
            <w:bookmarkStart w:id="107" w:name="_Toc194562189"/>
            <w:bookmarkStart w:id="108" w:name="_Toc195063196"/>
            <w:bookmarkStart w:id="109" w:name="_Toc195087093"/>
            <w:bookmarkStart w:id="110" w:name="_Toc195184968"/>
            <w:r>
              <w:rPr>
                <w:b w:val="0"/>
                <w:sz w:val="22"/>
                <w:szCs w:val="22"/>
              </w:rPr>
              <w:t xml:space="preserve">- </w:t>
            </w:r>
            <w:r w:rsidR="008220E6">
              <w:rPr>
                <w:b w:val="0"/>
                <w:sz w:val="22"/>
                <w:szCs w:val="22"/>
              </w:rPr>
              <w:t>kap. 8</w:t>
            </w:r>
            <w:r w:rsidR="008220E6" w:rsidRPr="00F90C35">
              <w:rPr>
                <w:b w:val="0"/>
                <w:sz w:val="22"/>
                <w:szCs w:val="22"/>
              </w:rPr>
              <w:t>.3 Změnová řízení projektů</w:t>
            </w:r>
            <w:bookmarkEnd w:id="104"/>
            <w:bookmarkEnd w:id="105"/>
            <w:bookmarkEnd w:id="106"/>
            <w:bookmarkEnd w:id="107"/>
            <w:bookmarkEnd w:id="108"/>
            <w:bookmarkEnd w:id="109"/>
            <w:bookmarkEnd w:id="110"/>
          </w:p>
          <w:p w14:paraId="5E2E5805" w14:textId="77777777" w:rsidR="008220E6" w:rsidRPr="00C5798B" w:rsidRDefault="008220E6" w:rsidP="00B764E8">
            <w:pPr>
              <w:jc w:val="both"/>
              <w:rPr>
                <w:rFonts w:ascii="Calibri" w:hAnsi="Calibri" w:cs="Calibri"/>
              </w:rPr>
            </w:pPr>
          </w:p>
        </w:tc>
      </w:tr>
      <w:tr w:rsidR="008220E6" w:rsidRPr="00C5798B" w14:paraId="229CD56D" w14:textId="77777777" w:rsidTr="00B764E8">
        <w:tc>
          <w:tcPr>
            <w:tcW w:w="1980" w:type="dxa"/>
            <w:shd w:val="clear" w:color="auto" w:fill="auto"/>
          </w:tcPr>
          <w:p w14:paraId="46979B26" w14:textId="77777777" w:rsidR="008220E6" w:rsidRPr="00C5798B" w:rsidRDefault="008220E6" w:rsidP="00B764E8">
            <w:pPr>
              <w:jc w:val="both"/>
              <w:rPr>
                <w:rFonts w:ascii="Calibri" w:hAnsi="Calibri" w:cs="Calibri"/>
              </w:rPr>
            </w:pPr>
          </w:p>
        </w:tc>
        <w:tc>
          <w:tcPr>
            <w:tcW w:w="3118" w:type="dxa"/>
            <w:shd w:val="clear" w:color="auto" w:fill="auto"/>
          </w:tcPr>
          <w:p w14:paraId="4127E3C9" w14:textId="6FF0DAE8" w:rsidR="008220E6" w:rsidRPr="002B48DD" w:rsidRDefault="008220E6" w:rsidP="00B764E8">
            <w:pPr>
              <w:jc w:val="both"/>
              <w:rPr>
                <w:rFonts w:cstheme="minorHAnsi"/>
              </w:rPr>
            </w:pPr>
            <w:r>
              <w:rPr>
                <w:rFonts w:cstheme="minorHAnsi"/>
              </w:rPr>
              <w:t xml:space="preserve">V rámci KMP diskutovat otázky </w:t>
            </w:r>
            <w:r w:rsidRPr="002B48DD">
              <w:rPr>
                <w:rFonts w:cstheme="minorHAnsi"/>
              </w:rPr>
              <w:t>četnost</w:t>
            </w:r>
            <w:r>
              <w:rPr>
                <w:rFonts w:cstheme="minorHAnsi"/>
              </w:rPr>
              <w:t>i</w:t>
            </w:r>
            <w:r w:rsidRPr="002B48DD">
              <w:rPr>
                <w:rFonts w:cstheme="minorHAnsi"/>
              </w:rPr>
              <w:t xml:space="preserve"> kontrol</w:t>
            </w:r>
            <w:r>
              <w:rPr>
                <w:rFonts w:cstheme="minorHAnsi"/>
              </w:rPr>
              <w:t xml:space="preserve">, </w:t>
            </w:r>
            <w:r w:rsidRPr="002B48DD">
              <w:rPr>
                <w:rFonts w:cstheme="minorHAnsi"/>
              </w:rPr>
              <w:t>obsah kontrol</w:t>
            </w:r>
            <w:r>
              <w:rPr>
                <w:rFonts w:cstheme="minorHAnsi"/>
              </w:rPr>
              <w:t xml:space="preserve"> a terminologické sjednocení v oblasti kontrol/</w:t>
            </w:r>
            <w:proofErr w:type="spellStart"/>
            <w:r>
              <w:rPr>
                <w:rFonts w:cstheme="minorHAnsi"/>
              </w:rPr>
              <w:t>monitorování-veřejnosprávní</w:t>
            </w:r>
            <w:proofErr w:type="spellEnd"/>
            <w:r>
              <w:rPr>
                <w:rFonts w:cstheme="minorHAnsi"/>
              </w:rPr>
              <w:t xml:space="preserve"> kontrola apod..</w:t>
            </w:r>
          </w:p>
        </w:tc>
        <w:tc>
          <w:tcPr>
            <w:tcW w:w="1560" w:type="dxa"/>
            <w:shd w:val="clear" w:color="auto" w:fill="auto"/>
          </w:tcPr>
          <w:p w14:paraId="325A6DD6" w14:textId="77777777" w:rsidR="008220E6" w:rsidRDefault="008220E6" w:rsidP="00B764E8">
            <w:pPr>
              <w:jc w:val="both"/>
              <w:rPr>
                <w:rFonts w:ascii="Calibri" w:hAnsi="Calibri" w:cs="Calibri"/>
              </w:rPr>
            </w:pPr>
            <w:r w:rsidRPr="00C5798B">
              <w:rPr>
                <w:rFonts w:ascii="Calibri" w:hAnsi="Calibri" w:cs="Calibri"/>
              </w:rPr>
              <w:t>Poskytovatelé</w:t>
            </w:r>
          </w:p>
          <w:p w14:paraId="52348016" w14:textId="77777777" w:rsidR="008220E6" w:rsidRPr="00C5798B" w:rsidRDefault="008220E6" w:rsidP="00B764E8">
            <w:pPr>
              <w:jc w:val="both"/>
              <w:rPr>
                <w:rFonts w:ascii="Calibri" w:hAnsi="Calibri" w:cs="Calibri"/>
              </w:rPr>
            </w:pPr>
            <w:r w:rsidRPr="00C5798B">
              <w:rPr>
                <w:rFonts w:ascii="Calibri" w:hAnsi="Calibri" w:cs="Calibri"/>
              </w:rPr>
              <w:t>Poskytovatelé</w:t>
            </w:r>
          </w:p>
        </w:tc>
        <w:tc>
          <w:tcPr>
            <w:tcW w:w="3118" w:type="dxa"/>
            <w:shd w:val="clear" w:color="auto" w:fill="auto"/>
          </w:tcPr>
          <w:p w14:paraId="4322A18F" w14:textId="77777777" w:rsidR="008220E6" w:rsidRDefault="008220E6" w:rsidP="00B764E8">
            <w:r>
              <w:t>kap. 8.2 Věcné a finanční kontroly projektů</w:t>
            </w:r>
          </w:p>
        </w:tc>
      </w:tr>
      <w:tr w:rsidR="008220E6" w:rsidRPr="00C5798B" w14:paraId="61435276" w14:textId="77777777" w:rsidTr="00B764E8">
        <w:tc>
          <w:tcPr>
            <w:tcW w:w="1980" w:type="dxa"/>
            <w:shd w:val="clear" w:color="auto" w:fill="auto"/>
          </w:tcPr>
          <w:p w14:paraId="75B46E57" w14:textId="77777777" w:rsidR="008220E6" w:rsidRPr="00C5798B" w:rsidRDefault="008220E6" w:rsidP="00B764E8">
            <w:pPr>
              <w:jc w:val="both"/>
              <w:rPr>
                <w:rFonts w:ascii="Calibri" w:hAnsi="Calibri" w:cs="Calibri"/>
              </w:rPr>
            </w:pPr>
            <w:r w:rsidRPr="00C5798B">
              <w:rPr>
                <w:rFonts w:ascii="Calibri" w:hAnsi="Calibri" w:cs="Calibri"/>
              </w:rPr>
              <w:t>Definice výsledků</w:t>
            </w:r>
          </w:p>
        </w:tc>
        <w:tc>
          <w:tcPr>
            <w:tcW w:w="3118" w:type="dxa"/>
            <w:shd w:val="clear" w:color="auto" w:fill="auto"/>
          </w:tcPr>
          <w:p w14:paraId="25FA0534" w14:textId="77777777" w:rsidR="008220E6" w:rsidRPr="00C5798B" w:rsidRDefault="008220E6" w:rsidP="00B764E8">
            <w:pPr>
              <w:jc w:val="both"/>
              <w:rPr>
                <w:rFonts w:ascii="Calibri" w:hAnsi="Calibri" w:cs="Calibri"/>
              </w:rPr>
            </w:pPr>
            <w:r w:rsidRPr="00C5798B">
              <w:rPr>
                <w:rFonts w:ascii="Calibri" w:hAnsi="Calibri" w:cs="Calibri"/>
              </w:rPr>
              <w:t>Aktualizovat definice výsledků uvedených v samostatné příloze č. 4 Definice druhů výsledků Metodiky hodnocení výzkumných organizací a programů účelové podpory výzkumu, vývoje a inovací.</w:t>
            </w:r>
          </w:p>
        </w:tc>
        <w:tc>
          <w:tcPr>
            <w:tcW w:w="1560" w:type="dxa"/>
            <w:shd w:val="clear" w:color="auto" w:fill="auto"/>
          </w:tcPr>
          <w:p w14:paraId="03A670A3" w14:textId="77777777" w:rsidR="008220E6" w:rsidRPr="00C5798B" w:rsidRDefault="008220E6" w:rsidP="00B764E8">
            <w:pPr>
              <w:jc w:val="both"/>
              <w:rPr>
                <w:rFonts w:ascii="Calibri" w:hAnsi="Calibri" w:cs="Calibri"/>
              </w:rPr>
            </w:pPr>
            <w:r w:rsidRPr="00C5798B">
              <w:rPr>
                <w:rFonts w:ascii="Calibri" w:hAnsi="Calibri" w:cs="Calibri"/>
              </w:rPr>
              <w:t>RVVI/ Poskytovatelé</w:t>
            </w:r>
          </w:p>
        </w:tc>
        <w:tc>
          <w:tcPr>
            <w:tcW w:w="3118" w:type="dxa"/>
            <w:shd w:val="clear" w:color="auto" w:fill="auto"/>
          </w:tcPr>
          <w:p w14:paraId="233BE167" w14:textId="77777777" w:rsidR="008220E6" w:rsidRPr="0063272A" w:rsidRDefault="008220E6" w:rsidP="00B764E8">
            <w:r>
              <w:t>Viz MP, kap. 8 Realizace projektů</w:t>
            </w:r>
          </w:p>
          <w:p w14:paraId="4B42EB22" w14:textId="77777777" w:rsidR="008220E6" w:rsidRPr="00C5798B" w:rsidRDefault="008220E6" w:rsidP="00B764E8">
            <w:pPr>
              <w:jc w:val="both"/>
              <w:rPr>
                <w:rFonts w:ascii="Calibri" w:hAnsi="Calibri" w:cs="Calibri"/>
              </w:rPr>
            </w:pPr>
          </w:p>
        </w:tc>
      </w:tr>
      <w:tr w:rsidR="008220E6" w:rsidRPr="00C5798B" w14:paraId="23F36090" w14:textId="77777777" w:rsidTr="00B764E8">
        <w:tc>
          <w:tcPr>
            <w:tcW w:w="1980" w:type="dxa"/>
            <w:shd w:val="clear" w:color="auto" w:fill="auto"/>
          </w:tcPr>
          <w:p w14:paraId="6EBF7446" w14:textId="77777777" w:rsidR="008220E6" w:rsidRPr="00C5798B" w:rsidRDefault="008220E6" w:rsidP="00B764E8">
            <w:pPr>
              <w:jc w:val="both"/>
              <w:rPr>
                <w:rFonts w:ascii="Calibri" w:hAnsi="Calibri" w:cs="Calibri"/>
              </w:rPr>
            </w:pPr>
            <w:r>
              <w:rPr>
                <w:rFonts w:ascii="Calibri" w:hAnsi="Calibri" w:cs="Calibri"/>
              </w:rPr>
              <w:t>Vazba na program HORIZON</w:t>
            </w:r>
          </w:p>
        </w:tc>
        <w:tc>
          <w:tcPr>
            <w:tcW w:w="3118" w:type="dxa"/>
            <w:shd w:val="clear" w:color="auto" w:fill="auto"/>
          </w:tcPr>
          <w:p w14:paraId="41DC817D" w14:textId="77777777" w:rsidR="008220E6" w:rsidRPr="00F24125" w:rsidRDefault="008220E6" w:rsidP="00B764E8">
            <w:pPr>
              <w:jc w:val="both"/>
              <w:rPr>
                <w:rFonts w:ascii="Calibri" w:hAnsi="Calibri" w:cs="Calibri"/>
              </w:rPr>
            </w:pPr>
            <w:r w:rsidRPr="00F24125">
              <w:t>Dále konsolidovat pravidla pro poskytování účelové podpory s pravidly pro poskytování podpory z programů Horizon.</w:t>
            </w:r>
          </w:p>
        </w:tc>
        <w:tc>
          <w:tcPr>
            <w:tcW w:w="1560" w:type="dxa"/>
            <w:shd w:val="clear" w:color="auto" w:fill="auto"/>
          </w:tcPr>
          <w:p w14:paraId="43606D27" w14:textId="2B09D4CD" w:rsidR="008220E6" w:rsidRPr="00C5798B" w:rsidRDefault="008220E6" w:rsidP="00B764E8">
            <w:pPr>
              <w:jc w:val="both"/>
              <w:rPr>
                <w:rFonts w:ascii="Calibri" w:hAnsi="Calibri" w:cs="Calibri"/>
              </w:rPr>
            </w:pPr>
            <w:r w:rsidRPr="00C5798B">
              <w:rPr>
                <w:rFonts w:ascii="Calibri" w:hAnsi="Calibri" w:cs="Calibri"/>
              </w:rPr>
              <w:t>RVVI/ÚV</w:t>
            </w:r>
            <w:r w:rsidR="00F468C3">
              <w:rPr>
                <w:rFonts w:ascii="Calibri" w:hAnsi="Calibri" w:cs="Calibri"/>
              </w:rPr>
              <w:t>-SVVI</w:t>
            </w:r>
          </w:p>
        </w:tc>
        <w:tc>
          <w:tcPr>
            <w:tcW w:w="3118" w:type="dxa"/>
            <w:shd w:val="clear" w:color="auto" w:fill="auto"/>
          </w:tcPr>
          <w:p w14:paraId="65485BB7" w14:textId="77777777" w:rsidR="008220E6" w:rsidRPr="00C5798B" w:rsidRDefault="008220E6" w:rsidP="00804D9A">
            <w:pPr>
              <w:rPr>
                <w:rFonts w:ascii="Calibri" w:hAnsi="Calibri" w:cs="Calibri"/>
              </w:rPr>
            </w:pPr>
            <w:r w:rsidRPr="003C660B">
              <w:rPr>
                <w:rFonts w:ascii="Calibri" w:hAnsi="Calibri" w:cs="Calibri"/>
              </w:rPr>
              <w:t xml:space="preserve">Viz </w:t>
            </w:r>
            <w:r>
              <w:rPr>
                <w:rFonts w:ascii="Calibri" w:hAnsi="Calibri" w:cs="Calibri"/>
              </w:rPr>
              <w:t>kap. 5 Programy účelové podpory</w:t>
            </w:r>
          </w:p>
        </w:tc>
      </w:tr>
    </w:tbl>
    <w:p w14:paraId="4ACC2910" w14:textId="77777777" w:rsidR="008220E6" w:rsidRDefault="008220E6" w:rsidP="008220E6">
      <w:pPr>
        <w:jc w:val="both"/>
        <w:rPr>
          <w:rFonts w:ascii="Calibri" w:hAnsi="Calibri" w:cs="Calibri"/>
        </w:rPr>
      </w:pPr>
    </w:p>
    <w:p w14:paraId="15501FDC" w14:textId="77777777" w:rsidR="008220E6" w:rsidRDefault="008220E6" w:rsidP="008220E6">
      <w:pPr>
        <w:jc w:val="both"/>
        <w:rPr>
          <w:rFonts w:ascii="Calibri" w:hAnsi="Calibri" w:cs="Calibri"/>
        </w:rPr>
      </w:pPr>
    </w:p>
    <w:p w14:paraId="46CF25FE" w14:textId="585DF4DE" w:rsidR="008220E6" w:rsidRPr="00422C44" w:rsidRDefault="008220E6" w:rsidP="008220E6">
      <w:pPr>
        <w:jc w:val="both"/>
        <w:rPr>
          <w:rFonts w:ascii="Calibri" w:hAnsi="Calibri" w:cs="Calibri"/>
        </w:rPr>
      </w:pPr>
      <w:r>
        <w:rPr>
          <w:rFonts w:ascii="Calibri" w:hAnsi="Calibri" w:cs="Calibri"/>
        </w:rPr>
        <w:t xml:space="preserve">IV. </w:t>
      </w:r>
      <w:r w:rsidRPr="003C660B">
        <w:rPr>
          <w:rFonts w:ascii="Calibri" w:hAnsi="Calibri" w:cs="Calibri"/>
        </w:rPr>
        <w:t>V</w:t>
      </w:r>
      <w:r w:rsidR="003C660B">
        <w:rPr>
          <w:rFonts w:ascii="Calibri" w:hAnsi="Calibri" w:cs="Calibri"/>
        </w:rPr>
        <w:t>e čtvrté</w:t>
      </w:r>
      <w:r w:rsidRPr="003C660B">
        <w:rPr>
          <w:rFonts w:ascii="Calibri" w:hAnsi="Calibri" w:cs="Calibri"/>
        </w:rPr>
        <w:t> </w:t>
      </w:r>
      <w:r w:rsidR="003C660B">
        <w:rPr>
          <w:rFonts w:ascii="Calibri" w:hAnsi="Calibri" w:cs="Calibri"/>
        </w:rPr>
        <w:t>části</w:t>
      </w:r>
      <w:r>
        <w:rPr>
          <w:rFonts w:ascii="Calibri" w:hAnsi="Calibri" w:cs="Calibri"/>
        </w:rPr>
        <w:t xml:space="preserve"> jsou uvedena opatření, jejichž dosažení bude vyžadovat delší časové období a v mnohých případech také nejen odbo</w:t>
      </w:r>
      <w:r w:rsidR="00F70A60">
        <w:rPr>
          <w:rFonts w:ascii="Calibri" w:hAnsi="Calibri" w:cs="Calibri"/>
        </w:rPr>
        <w:t xml:space="preserve">rnou, ale i politickou shodu. </w:t>
      </w:r>
    </w:p>
    <w:tbl>
      <w:tblPr>
        <w:tblStyle w:val="Mkatabulky1"/>
        <w:tblW w:w="9634" w:type="dxa"/>
        <w:shd w:val="clear" w:color="auto" w:fill="FF0000"/>
        <w:tblLook w:val="04A0" w:firstRow="1" w:lastRow="0" w:firstColumn="1" w:lastColumn="0" w:noHBand="0" w:noVBand="1"/>
      </w:tblPr>
      <w:tblGrid>
        <w:gridCol w:w="1980"/>
        <w:gridCol w:w="3118"/>
        <w:gridCol w:w="1560"/>
        <w:gridCol w:w="2976"/>
      </w:tblGrid>
      <w:tr w:rsidR="008220E6" w:rsidRPr="00C5798B" w14:paraId="23677D07" w14:textId="77777777" w:rsidTr="003C660B">
        <w:tc>
          <w:tcPr>
            <w:tcW w:w="1980" w:type="dxa"/>
            <w:tcBorders>
              <w:bottom w:val="single" w:sz="4" w:space="0" w:color="auto"/>
            </w:tcBorders>
            <w:shd w:val="clear" w:color="auto" w:fill="FFFFFF" w:themeFill="background1"/>
          </w:tcPr>
          <w:p w14:paraId="13F15DE3" w14:textId="77777777" w:rsidR="008220E6" w:rsidRPr="00C5798B" w:rsidRDefault="008220E6" w:rsidP="00B764E8">
            <w:pPr>
              <w:jc w:val="both"/>
              <w:rPr>
                <w:rFonts w:ascii="Calibri" w:hAnsi="Calibri" w:cs="Calibri"/>
              </w:rPr>
            </w:pPr>
            <w:r w:rsidRPr="00C5798B">
              <w:rPr>
                <w:rFonts w:ascii="Calibri" w:hAnsi="Calibri" w:cs="Calibri"/>
                <w:b/>
                <w:bCs/>
              </w:rPr>
              <w:t>Téma</w:t>
            </w:r>
          </w:p>
        </w:tc>
        <w:tc>
          <w:tcPr>
            <w:tcW w:w="3118" w:type="dxa"/>
            <w:tcBorders>
              <w:bottom w:val="single" w:sz="4" w:space="0" w:color="auto"/>
            </w:tcBorders>
            <w:shd w:val="clear" w:color="auto" w:fill="FFFFFF" w:themeFill="background1"/>
          </w:tcPr>
          <w:p w14:paraId="2DAB946C" w14:textId="77777777" w:rsidR="008220E6" w:rsidRPr="00C5798B" w:rsidRDefault="008220E6" w:rsidP="00B764E8">
            <w:pPr>
              <w:jc w:val="both"/>
              <w:rPr>
                <w:rFonts w:ascii="Calibri" w:hAnsi="Calibri" w:cs="Calibri"/>
              </w:rPr>
            </w:pPr>
            <w:r w:rsidRPr="00C5798B">
              <w:rPr>
                <w:rFonts w:ascii="Calibri" w:hAnsi="Calibri" w:cs="Calibri"/>
                <w:b/>
                <w:bCs/>
              </w:rPr>
              <w:t>Doporučení</w:t>
            </w:r>
          </w:p>
        </w:tc>
        <w:tc>
          <w:tcPr>
            <w:tcW w:w="1560" w:type="dxa"/>
            <w:tcBorders>
              <w:bottom w:val="single" w:sz="4" w:space="0" w:color="auto"/>
            </w:tcBorders>
            <w:shd w:val="clear" w:color="auto" w:fill="FFFFFF" w:themeFill="background1"/>
          </w:tcPr>
          <w:p w14:paraId="2A69CD99" w14:textId="77777777" w:rsidR="008220E6" w:rsidRPr="00C5798B" w:rsidRDefault="008220E6" w:rsidP="00B764E8">
            <w:pPr>
              <w:jc w:val="both"/>
              <w:rPr>
                <w:rFonts w:ascii="Calibri" w:hAnsi="Calibri" w:cs="Calibri"/>
              </w:rPr>
            </w:pPr>
            <w:r w:rsidRPr="00C5798B">
              <w:rPr>
                <w:rFonts w:ascii="Calibri" w:hAnsi="Calibri" w:cs="Calibri"/>
                <w:b/>
                <w:bCs/>
              </w:rPr>
              <w:t>Adresát doporučení</w:t>
            </w:r>
          </w:p>
        </w:tc>
        <w:tc>
          <w:tcPr>
            <w:tcW w:w="2976" w:type="dxa"/>
            <w:tcBorders>
              <w:bottom w:val="single" w:sz="4" w:space="0" w:color="auto"/>
            </w:tcBorders>
            <w:shd w:val="clear" w:color="auto" w:fill="FFFFFF" w:themeFill="background1"/>
          </w:tcPr>
          <w:p w14:paraId="380142AB" w14:textId="3D5A13C9" w:rsidR="008220E6" w:rsidRPr="00C5798B" w:rsidRDefault="008220E6" w:rsidP="00B764E8">
            <w:pPr>
              <w:jc w:val="both"/>
              <w:rPr>
                <w:rFonts w:ascii="Calibri" w:hAnsi="Calibri" w:cs="Calibri"/>
                <w:b/>
                <w:bCs/>
              </w:rPr>
            </w:pPr>
            <w:r>
              <w:rPr>
                <w:rFonts w:ascii="Calibri" w:hAnsi="Calibri" w:cs="Calibri"/>
                <w:b/>
                <w:bCs/>
              </w:rPr>
              <w:t>Odkaz, kde a jak je doporučení využito</w:t>
            </w:r>
          </w:p>
        </w:tc>
      </w:tr>
      <w:tr w:rsidR="008220E6" w:rsidRPr="00F911BA" w14:paraId="4B8E2EA2" w14:textId="77777777" w:rsidTr="00B764E8">
        <w:tc>
          <w:tcPr>
            <w:tcW w:w="1980" w:type="dxa"/>
            <w:shd w:val="clear" w:color="auto" w:fill="auto"/>
          </w:tcPr>
          <w:p w14:paraId="54344664" w14:textId="77777777" w:rsidR="008220E6" w:rsidRPr="00F911BA" w:rsidRDefault="008220E6" w:rsidP="00B764E8">
            <w:pPr>
              <w:jc w:val="both"/>
              <w:rPr>
                <w:rFonts w:ascii="Calibri" w:hAnsi="Calibri" w:cs="Calibri"/>
              </w:rPr>
            </w:pPr>
            <w:r w:rsidRPr="00F911BA">
              <w:rPr>
                <w:rFonts w:ascii="Calibri" w:hAnsi="Calibri" w:cs="Calibri"/>
              </w:rPr>
              <w:t>Využívání informací z registrů státní správy</w:t>
            </w:r>
          </w:p>
        </w:tc>
        <w:tc>
          <w:tcPr>
            <w:tcW w:w="3118" w:type="dxa"/>
            <w:shd w:val="clear" w:color="auto" w:fill="auto"/>
          </w:tcPr>
          <w:p w14:paraId="747D43CA" w14:textId="77777777" w:rsidR="008220E6" w:rsidRPr="00A5251A" w:rsidRDefault="008220E6" w:rsidP="00B764E8">
            <w:pPr>
              <w:pStyle w:val="Textkomente"/>
              <w:rPr>
                <w:rFonts w:cstheme="minorHAnsi"/>
                <w:sz w:val="22"/>
                <w:szCs w:val="22"/>
              </w:rPr>
            </w:pPr>
            <w:r w:rsidRPr="00A5251A">
              <w:rPr>
                <w:rFonts w:ascii="Calibri" w:hAnsi="Calibri" w:cs="Calibri"/>
                <w:sz w:val="22"/>
                <w:szCs w:val="22"/>
              </w:rPr>
              <w:t>Pro posuzování oprávněnosti žadatelů v maximální míře využívat informace z registrů státní správy, a to obzvlášť v případě, že tyto registry spravují</w:t>
            </w:r>
            <w:r w:rsidRPr="00A5251A">
              <w:rPr>
                <w:rFonts w:cstheme="minorHAnsi"/>
                <w:sz w:val="22"/>
                <w:szCs w:val="22"/>
              </w:rPr>
              <w:t>. Diskutovat se správci těchto registrů, aby zajistili strojovou čitelnost těchto dat.</w:t>
            </w:r>
          </w:p>
          <w:p w14:paraId="049E97F2" w14:textId="77777777" w:rsidR="008220E6" w:rsidRPr="00F911BA" w:rsidRDefault="008220E6" w:rsidP="00B764E8">
            <w:pPr>
              <w:jc w:val="both"/>
              <w:rPr>
                <w:rFonts w:ascii="Calibri" w:hAnsi="Calibri" w:cs="Calibri"/>
              </w:rPr>
            </w:pPr>
          </w:p>
        </w:tc>
        <w:tc>
          <w:tcPr>
            <w:tcW w:w="1560" w:type="dxa"/>
            <w:shd w:val="clear" w:color="auto" w:fill="auto"/>
          </w:tcPr>
          <w:p w14:paraId="5337C042" w14:textId="77777777" w:rsidR="008220E6" w:rsidRPr="00F911BA" w:rsidRDefault="008220E6" w:rsidP="00B764E8">
            <w:pPr>
              <w:jc w:val="both"/>
              <w:rPr>
                <w:rFonts w:ascii="Calibri" w:hAnsi="Calibri" w:cs="Calibri"/>
              </w:rPr>
            </w:pPr>
            <w:r w:rsidRPr="00F911BA">
              <w:rPr>
                <w:rFonts w:ascii="Calibri" w:hAnsi="Calibri" w:cs="Calibri"/>
              </w:rPr>
              <w:lastRenderedPageBreak/>
              <w:t>Poskytovatelé</w:t>
            </w:r>
          </w:p>
        </w:tc>
        <w:tc>
          <w:tcPr>
            <w:tcW w:w="2976" w:type="dxa"/>
            <w:shd w:val="clear" w:color="auto" w:fill="auto"/>
          </w:tcPr>
          <w:p w14:paraId="2101B70B" w14:textId="599D196C" w:rsidR="008220E6" w:rsidRPr="00593C9F" w:rsidRDefault="008220E6" w:rsidP="00804D9A">
            <w:pPr>
              <w:pStyle w:val="Nadpis2"/>
              <w:numPr>
                <w:ilvl w:val="0"/>
                <w:numId w:val="0"/>
              </w:numPr>
              <w:rPr>
                <w:b w:val="0"/>
                <w:sz w:val="22"/>
                <w:szCs w:val="22"/>
              </w:rPr>
            </w:pPr>
            <w:bookmarkStart w:id="111" w:name="_Toc190797543"/>
            <w:bookmarkStart w:id="112" w:name="_Toc190881135"/>
            <w:bookmarkStart w:id="113" w:name="_Toc192517105"/>
            <w:bookmarkStart w:id="114" w:name="_Toc194562190"/>
            <w:bookmarkStart w:id="115" w:name="_Toc195063197"/>
            <w:bookmarkStart w:id="116" w:name="_Toc195087094"/>
            <w:bookmarkStart w:id="117" w:name="_Toc195184969"/>
            <w:r>
              <w:rPr>
                <w:b w:val="0"/>
                <w:sz w:val="22"/>
                <w:szCs w:val="22"/>
              </w:rPr>
              <w:t>Viz MP, kap.</w:t>
            </w:r>
            <w:bookmarkEnd w:id="111"/>
            <w:bookmarkEnd w:id="112"/>
            <w:bookmarkEnd w:id="113"/>
            <w:bookmarkEnd w:id="114"/>
            <w:bookmarkEnd w:id="115"/>
            <w:r>
              <w:rPr>
                <w:b w:val="0"/>
                <w:sz w:val="22"/>
                <w:szCs w:val="22"/>
              </w:rPr>
              <w:t xml:space="preserve"> </w:t>
            </w:r>
            <w:bookmarkStart w:id="118" w:name="_Toc190797544"/>
            <w:bookmarkStart w:id="119" w:name="_Toc190881136"/>
            <w:bookmarkStart w:id="120" w:name="_Toc192517106"/>
            <w:bookmarkStart w:id="121" w:name="_Toc194562191"/>
            <w:bookmarkStart w:id="122" w:name="_Toc195063198"/>
            <w:r w:rsidR="00804D9A">
              <w:rPr>
                <w:b w:val="0"/>
                <w:sz w:val="22"/>
                <w:szCs w:val="22"/>
              </w:rPr>
              <w:t xml:space="preserve"> </w:t>
            </w:r>
            <w:r>
              <w:rPr>
                <w:b w:val="0"/>
                <w:sz w:val="22"/>
                <w:szCs w:val="22"/>
              </w:rPr>
              <w:t>6.5</w:t>
            </w:r>
            <w:r w:rsidRPr="00593C9F">
              <w:rPr>
                <w:b w:val="0"/>
                <w:sz w:val="22"/>
                <w:szCs w:val="22"/>
              </w:rPr>
              <w:t xml:space="preserve"> </w:t>
            </w:r>
            <w:r>
              <w:rPr>
                <w:b w:val="0"/>
                <w:sz w:val="22"/>
                <w:szCs w:val="22"/>
              </w:rPr>
              <w:t>Další návrhy pro snižování</w:t>
            </w:r>
            <w:bookmarkStart w:id="123" w:name="_Toc190797545"/>
            <w:bookmarkStart w:id="124" w:name="_Toc190881137"/>
            <w:bookmarkStart w:id="125" w:name="_Toc192517107"/>
            <w:bookmarkStart w:id="126" w:name="_Toc194562192"/>
            <w:bookmarkStart w:id="127" w:name="_Toc195063199"/>
            <w:bookmarkEnd w:id="118"/>
            <w:bookmarkEnd w:id="119"/>
            <w:bookmarkEnd w:id="120"/>
            <w:bookmarkEnd w:id="121"/>
            <w:bookmarkEnd w:id="122"/>
            <w:r w:rsidR="00804D9A">
              <w:rPr>
                <w:b w:val="0"/>
                <w:sz w:val="22"/>
                <w:szCs w:val="22"/>
              </w:rPr>
              <w:t xml:space="preserve"> </w:t>
            </w:r>
            <w:r>
              <w:rPr>
                <w:b w:val="0"/>
                <w:sz w:val="22"/>
                <w:szCs w:val="22"/>
              </w:rPr>
              <w:t>administrativní náročnosti</w:t>
            </w:r>
            <w:bookmarkStart w:id="128" w:name="_Toc190797546"/>
            <w:bookmarkStart w:id="129" w:name="_Toc190881138"/>
            <w:bookmarkStart w:id="130" w:name="_Toc192517108"/>
            <w:bookmarkStart w:id="131" w:name="_Toc194562193"/>
            <w:bookmarkStart w:id="132" w:name="_Toc195063200"/>
            <w:bookmarkEnd w:id="123"/>
            <w:bookmarkEnd w:id="124"/>
            <w:bookmarkEnd w:id="125"/>
            <w:bookmarkEnd w:id="126"/>
            <w:bookmarkEnd w:id="127"/>
            <w:r w:rsidR="00804D9A">
              <w:rPr>
                <w:b w:val="0"/>
                <w:sz w:val="22"/>
                <w:szCs w:val="22"/>
              </w:rPr>
              <w:t xml:space="preserve"> </w:t>
            </w:r>
            <w:proofErr w:type="gramStart"/>
            <w:r w:rsidRPr="00593C9F">
              <w:rPr>
                <w:b w:val="0"/>
                <w:sz w:val="22"/>
                <w:szCs w:val="22"/>
              </w:rPr>
              <w:t xml:space="preserve">přípravy </w:t>
            </w:r>
            <w:r w:rsidR="00804D9A">
              <w:rPr>
                <w:b w:val="0"/>
                <w:sz w:val="22"/>
                <w:szCs w:val="22"/>
              </w:rPr>
              <w:t xml:space="preserve"> p</w:t>
            </w:r>
            <w:r w:rsidRPr="00593C9F">
              <w:rPr>
                <w:b w:val="0"/>
                <w:sz w:val="22"/>
                <w:szCs w:val="22"/>
              </w:rPr>
              <w:t>rojektových</w:t>
            </w:r>
            <w:proofErr w:type="gramEnd"/>
            <w:r w:rsidRPr="00593C9F">
              <w:rPr>
                <w:b w:val="0"/>
                <w:sz w:val="22"/>
                <w:szCs w:val="22"/>
              </w:rPr>
              <w:t xml:space="preserve"> žádostí</w:t>
            </w:r>
            <w:bookmarkEnd w:id="128"/>
            <w:bookmarkEnd w:id="129"/>
            <w:bookmarkEnd w:id="130"/>
            <w:bookmarkEnd w:id="131"/>
            <w:bookmarkEnd w:id="132"/>
            <w:bookmarkEnd w:id="116"/>
            <w:bookmarkEnd w:id="117"/>
          </w:p>
          <w:p w14:paraId="59D7EC39" w14:textId="77777777" w:rsidR="008220E6" w:rsidRPr="00F911BA" w:rsidRDefault="008220E6" w:rsidP="00B764E8">
            <w:pPr>
              <w:jc w:val="both"/>
              <w:rPr>
                <w:rFonts w:ascii="Calibri" w:hAnsi="Calibri" w:cs="Calibri"/>
              </w:rPr>
            </w:pPr>
          </w:p>
        </w:tc>
      </w:tr>
      <w:tr w:rsidR="008220E6" w:rsidRPr="00F911BA" w14:paraId="631F12F4" w14:textId="77777777" w:rsidTr="00B764E8">
        <w:tc>
          <w:tcPr>
            <w:tcW w:w="1980" w:type="dxa"/>
            <w:shd w:val="clear" w:color="auto" w:fill="auto"/>
          </w:tcPr>
          <w:p w14:paraId="289FD438" w14:textId="77777777" w:rsidR="008220E6" w:rsidRPr="00F911BA" w:rsidRDefault="008220E6" w:rsidP="00B764E8">
            <w:pPr>
              <w:jc w:val="both"/>
              <w:rPr>
                <w:rFonts w:ascii="Calibri" w:hAnsi="Calibri" w:cs="Calibri"/>
              </w:rPr>
            </w:pPr>
            <w:r w:rsidRPr="00F911BA">
              <w:rPr>
                <w:rFonts w:ascii="Calibri" w:hAnsi="Calibri" w:cs="Calibri"/>
              </w:rPr>
              <w:t>Získávání hodnotitelů</w:t>
            </w:r>
          </w:p>
        </w:tc>
        <w:tc>
          <w:tcPr>
            <w:tcW w:w="3118" w:type="dxa"/>
            <w:shd w:val="clear" w:color="auto" w:fill="auto"/>
          </w:tcPr>
          <w:p w14:paraId="169D3A3E" w14:textId="77777777" w:rsidR="008220E6" w:rsidRPr="00F911BA" w:rsidRDefault="008220E6" w:rsidP="00B764E8">
            <w:pPr>
              <w:jc w:val="both"/>
              <w:rPr>
                <w:rFonts w:ascii="Calibri" w:hAnsi="Calibri" w:cs="Calibri"/>
              </w:rPr>
            </w:pPr>
            <w:r w:rsidRPr="00F911BA">
              <w:rPr>
                <w:rFonts w:ascii="Calibri" w:hAnsi="Calibri" w:cs="Calibri"/>
              </w:rPr>
              <w:t>Hodnotitele v různých oborech získávat pomocí aktivního oslovování českých i zahraničních výzkumníků, využitím databáze expertů pro rámcové programy; v případě aplikovaného výzkumu a inovací oslovováním odborníků zapojených do realizace projektů podpořených operačními programy MPO apod. Získávat hodnotitele pomocí vyšší finanční odměny, která pokryje skutečné náklady vynaložené s hodnocením, resp. odpovídá hodinové sazbě experta.</w:t>
            </w:r>
          </w:p>
        </w:tc>
        <w:tc>
          <w:tcPr>
            <w:tcW w:w="1560" w:type="dxa"/>
            <w:shd w:val="clear" w:color="auto" w:fill="auto"/>
          </w:tcPr>
          <w:p w14:paraId="28D02475" w14:textId="77777777" w:rsidR="008220E6" w:rsidRPr="00F911BA" w:rsidRDefault="008220E6" w:rsidP="00B764E8">
            <w:pPr>
              <w:jc w:val="both"/>
              <w:rPr>
                <w:rFonts w:ascii="Calibri" w:hAnsi="Calibri" w:cs="Calibri"/>
              </w:rPr>
            </w:pPr>
            <w:r w:rsidRPr="00F911BA">
              <w:rPr>
                <w:rFonts w:ascii="Calibri" w:hAnsi="Calibri" w:cs="Calibri"/>
              </w:rPr>
              <w:t>Poskytovatelé</w:t>
            </w:r>
          </w:p>
        </w:tc>
        <w:tc>
          <w:tcPr>
            <w:tcW w:w="2976" w:type="dxa"/>
            <w:shd w:val="clear" w:color="auto" w:fill="auto"/>
          </w:tcPr>
          <w:p w14:paraId="54135E5D" w14:textId="7F861804" w:rsidR="008220E6" w:rsidRPr="0063272A" w:rsidRDefault="008220E6" w:rsidP="00B764E8">
            <w:r>
              <w:t xml:space="preserve">Viz MP, kap. 7 </w:t>
            </w:r>
            <w:r w:rsidRPr="0063272A">
              <w:t>Hodnocení</w:t>
            </w:r>
            <w:r>
              <w:t xml:space="preserve"> a</w:t>
            </w:r>
            <w:r w:rsidR="00804D9A">
              <w:t> </w:t>
            </w:r>
            <w:r w:rsidRPr="0063272A">
              <w:t>práce s hodnotiteli</w:t>
            </w:r>
          </w:p>
          <w:p w14:paraId="06180907" w14:textId="77777777" w:rsidR="008220E6" w:rsidRPr="00F911BA" w:rsidRDefault="008220E6" w:rsidP="00B764E8">
            <w:pPr>
              <w:jc w:val="both"/>
              <w:rPr>
                <w:rFonts w:ascii="Calibri" w:hAnsi="Calibri" w:cs="Calibri"/>
              </w:rPr>
            </w:pPr>
          </w:p>
        </w:tc>
      </w:tr>
    </w:tbl>
    <w:p w14:paraId="7524E7A6" w14:textId="77777777" w:rsidR="008220E6" w:rsidRDefault="008220E6" w:rsidP="0075464F">
      <w:pPr>
        <w:jc w:val="both"/>
        <w:rPr>
          <w:rFonts w:ascii="Calibri" w:hAnsi="Calibri" w:cs="Calibri"/>
        </w:rPr>
      </w:pPr>
    </w:p>
    <w:p w14:paraId="2351BA0C" w14:textId="18CAED60" w:rsidR="005B56E8" w:rsidRDefault="005B56E8">
      <w:pPr>
        <w:rPr>
          <w:rFonts w:ascii="Calibri" w:hAnsi="Calibri" w:cs="Calibri"/>
        </w:rPr>
      </w:pPr>
      <w:r>
        <w:rPr>
          <w:rFonts w:ascii="Calibri" w:hAnsi="Calibri" w:cs="Calibri"/>
        </w:rPr>
        <w:br w:type="page"/>
      </w:r>
    </w:p>
    <w:p w14:paraId="691CE419" w14:textId="08448B68" w:rsidR="005B56E8" w:rsidRDefault="00A03997" w:rsidP="007F5475">
      <w:pPr>
        <w:pStyle w:val="Nadpis2"/>
        <w:numPr>
          <w:ilvl w:val="1"/>
          <w:numId w:val="19"/>
        </w:numPr>
        <w:ind w:left="718"/>
      </w:pPr>
      <w:bookmarkStart w:id="133" w:name="_Toc195184970"/>
      <w:r>
        <w:lastRenderedPageBreak/>
        <w:t>Minimální parametry</w:t>
      </w:r>
      <w:r w:rsidR="005B56E8" w:rsidRPr="005B56E8">
        <w:t xml:space="preserve"> hodnocení návrhů projektů</w:t>
      </w:r>
      <w:bookmarkEnd w:id="133"/>
    </w:p>
    <w:p w14:paraId="1238B769" w14:textId="77777777" w:rsidR="005B56E8" w:rsidRDefault="005B56E8" w:rsidP="007F5475">
      <w:pPr>
        <w:jc w:val="both"/>
      </w:pPr>
    </w:p>
    <w:p w14:paraId="050C13F0" w14:textId="77777777" w:rsidR="005B56E8" w:rsidRDefault="005B56E8" w:rsidP="007F5475">
      <w:pPr>
        <w:jc w:val="both"/>
      </w:pPr>
      <w:r>
        <w:t>Poskytovatel dotace má dle § 21 Zákona 130/2002 Sb. při hodnocení návrhů projektů několik základních povinností, a to zajištění komise pro přijímání návrhů projektů, sestavení odborného poradního orgánu a dostatečného počtu oponentů. Konkretizaci podmínek jednotlivých poskytovatelů je nutné realizovat v následných dokumentech, kterými mohou být interní dokumenty, statuty a etické kodexy.</w:t>
      </w:r>
    </w:p>
    <w:p w14:paraId="3B6585D3" w14:textId="48A4CE7A" w:rsidR="005B56E8" w:rsidRDefault="005B56E8" w:rsidP="007F5475">
      <w:pPr>
        <w:jc w:val="both"/>
      </w:pPr>
      <w:r>
        <w:t>Základní východiska:</w:t>
      </w:r>
    </w:p>
    <w:p w14:paraId="40CBCCDD" w14:textId="6A5316CB" w:rsidR="005B56E8" w:rsidRDefault="005B56E8" w:rsidP="007F5475">
      <w:pPr>
        <w:pStyle w:val="Odstavecseseznamem"/>
        <w:numPr>
          <w:ilvl w:val="0"/>
          <w:numId w:val="21"/>
        </w:numPr>
        <w:jc w:val="both"/>
      </w:pPr>
      <w:r>
        <w:t>V návaznosti na §21, odst. 4, 5 a 6 zákona 130/2002 Sb. je poskytovatel zodpovědný za</w:t>
      </w:r>
      <w:r w:rsidR="007F5475">
        <w:t> </w:t>
      </w:r>
      <w:r>
        <w:t xml:space="preserve">dostatečnou odbornou způsobilost jak oponentů projektových návrhů, tak i členů odborného poradního orgánu. Odborný poradní orgán by měl být složen </w:t>
      </w:r>
      <w:r w:rsidR="00A03997">
        <w:t>z</w:t>
      </w:r>
      <w:r>
        <w:t xml:space="preserve"> vědecky erudovan</w:t>
      </w:r>
      <w:r w:rsidR="00A03997">
        <w:t>ých</w:t>
      </w:r>
      <w:r>
        <w:t xml:space="preserve"> výzkumný</w:t>
      </w:r>
      <w:r w:rsidR="00A03997">
        <w:t>ch</w:t>
      </w:r>
      <w:r>
        <w:t xml:space="preserve"> pracovník</w:t>
      </w:r>
      <w:r w:rsidR="00A03997">
        <w:t>ů</w:t>
      </w:r>
      <w:r>
        <w:t xml:space="preserve"> naplňující</w:t>
      </w:r>
      <w:r w:rsidR="00A03997">
        <w:t>ch</w:t>
      </w:r>
      <w:r>
        <w:t xml:space="preserve"> minimální odborná kritéria. Poskytovatel předloží principy sestavování odborného poradního orgánu jako součást předkládaného programu účelové podpory.</w:t>
      </w:r>
    </w:p>
    <w:p w14:paraId="657F12A0" w14:textId="7A42DF76" w:rsidR="005B56E8" w:rsidRDefault="005B56E8" w:rsidP="007F5475">
      <w:pPr>
        <w:pStyle w:val="Odstavecseseznamem"/>
        <w:numPr>
          <w:ilvl w:val="0"/>
          <w:numId w:val="21"/>
        </w:numPr>
        <w:jc w:val="both"/>
      </w:pPr>
      <w:r>
        <w:t xml:space="preserve">Poskytovatel je povinen zohlednit při výběru hodnotitelů i různé typy projektů, tj. odlišnosti mezi projekty základního, aplikovaného výzkumu, inovací či interdisciplinární projekty. </w:t>
      </w:r>
    </w:p>
    <w:p w14:paraId="56FA63E2" w14:textId="2B489A34" w:rsidR="005B56E8" w:rsidRDefault="005B56E8" w:rsidP="007F5475">
      <w:pPr>
        <w:pStyle w:val="Odstavecseseznamem"/>
        <w:numPr>
          <w:ilvl w:val="0"/>
          <w:numId w:val="21"/>
        </w:numPr>
        <w:jc w:val="both"/>
      </w:pPr>
      <w:r>
        <w:t xml:space="preserve">Všechny osoby podílející se na hodnocení návrhů projektů nesmí být ve vztahu k uchazečům podjaté, zejména se nesmí podílet na zpracování projektu, nesmí mít osobní zájem na rozhodnutí o poskytnutí podpory určitému projektu a s uchazeči je nesmí spojovat osobní, odborný, ani pracovní či jiný obdobný poměr. Poskytovatel definuje podjatost/střet zájmů vnitřním předpisem, který zveřejní. Odkaz na tento vnitřní předpis bude součástí předpokládaného programu účelové podpory. </w:t>
      </w:r>
    </w:p>
    <w:p w14:paraId="5ED6B42F" w14:textId="55F0D7FE" w:rsidR="005B56E8" w:rsidRDefault="005B56E8" w:rsidP="007F5475">
      <w:pPr>
        <w:pStyle w:val="Odstavecseseznamem"/>
        <w:numPr>
          <w:ilvl w:val="0"/>
          <w:numId w:val="21"/>
        </w:numPr>
        <w:jc w:val="both"/>
      </w:pPr>
      <w:r>
        <w:t xml:space="preserve">Poskytovatel je povinen zajistit důsledné dodržování §21, odst. 5 ve spojení s odst. 7 zákona 130/2002 Sb. Poskytovatel je povinen zajistit ke každému návrhu projektu nejméně 2 posudky oponentů jako podklad pro hodnocení návrhu projektu. Poskytovatel </w:t>
      </w:r>
      <w:r w:rsidR="00A03997">
        <w:t>seznámí uchazeče</w:t>
      </w:r>
      <w:r>
        <w:t xml:space="preserve"> s</w:t>
      </w:r>
      <w:r w:rsidR="00A03997">
        <w:t> </w:t>
      </w:r>
      <w:r>
        <w:t>výsledkem hodnocení jeho návrhu projektu ve veřejné soutěži ve výzkumu, vývoji a</w:t>
      </w:r>
      <w:r w:rsidR="007F5475">
        <w:t> </w:t>
      </w:r>
      <w:r>
        <w:t>inovacích, včetně zdůvodnění a poskytnutí oponentních posudků k jeho projektu bez uvedení osobních údajů oponentů.</w:t>
      </w:r>
    </w:p>
    <w:p w14:paraId="6DCB5C2B" w14:textId="406FF50E" w:rsidR="005B56E8" w:rsidRDefault="005B56E8" w:rsidP="007F5475">
      <w:pPr>
        <w:pStyle w:val="Odstavecseseznamem"/>
        <w:numPr>
          <w:ilvl w:val="0"/>
          <w:numId w:val="21"/>
        </w:numPr>
        <w:jc w:val="both"/>
      </w:pPr>
      <w:r>
        <w:t>Poskytovatelé GA ČR a TA ČR zajistí dodržování §36, odst. 7 a §36a, odst. 8 zákona 130/2002 Sb., které se týká výkonu kontrolních rad jako orgánů, které projednávají stížnosti na postup poskytovatele při hodnocení návrhu projektu, a které předklád</w:t>
      </w:r>
      <w:r w:rsidR="00A03997">
        <w:t>a</w:t>
      </w:r>
      <w:r>
        <w:t xml:space="preserve">jí svá stanoviska předsednictvu TA ČR a GA ČR. Stanoviska, která jsou vydávána v rámci kompetence kontrolních rad, jsou pro předsednictvo GA ČR a TA ČR závazná. </w:t>
      </w:r>
    </w:p>
    <w:p w14:paraId="2D9BC972" w14:textId="1BAE3EBF" w:rsidR="005B56E8" w:rsidRDefault="005B56E8" w:rsidP="007F5475">
      <w:pPr>
        <w:pStyle w:val="Odstavecseseznamem"/>
        <w:numPr>
          <w:ilvl w:val="0"/>
          <w:numId w:val="21"/>
        </w:numPr>
        <w:jc w:val="both"/>
      </w:pPr>
      <w:r>
        <w:t>Ostatní poskytovatelé projednávají stížnosti v souladu s obecnou úpravou obsaženou v</w:t>
      </w:r>
      <w:r w:rsidR="007F5475">
        <w:t> </w:t>
      </w:r>
      <w:proofErr w:type="spellStart"/>
      <w:r>
        <w:t>ust</w:t>
      </w:r>
      <w:proofErr w:type="spellEnd"/>
      <w:r>
        <w:t>.</w:t>
      </w:r>
      <w:r w:rsidR="007F5475">
        <w:t> </w:t>
      </w:r>
      <w:r>
        <w:t>§</w:t>
      </w:r>
      <w:r w:rsidR="007F5475">
        <w:t> </w:t>
      </w:r>
      <w:r>
        <w:t>175 správního řádu.</w:t>
      </w:r>
    </w:p>
    <w:p w14:paraId="4C8BDC93" w14:textId="400774D9" w:rsidR="005B56E8" w:rsidRDefault="005B56E8" w:rsidP="007F5475">
      <w:pPr>
        <w:pStyle w:val="Odstavecseseznamem"/>
        <w:numPr>
          <w:ilvl w:val="0"/>
          <w:numId w:val="21"/>
        </w:numPr>
        <w:jc w:val="both"/>
      </w:pPr>
      <w:r>
        <w:t xml:space="preserve">Poskytovatel má možnost zřídit ve sporných případech hodnocení návrhů projektů nezávislý orgán, který je složen z osob aktivně působících v oblasti výzkumu, vývoje, inovacích a transferu znalostí a které nebyly součástí žádného stupně předchozího standardního hodnoticího procesu. Tento orgán formuluje vyjádření v případě nesouhlasu uchazeče s průběhem hodnocení návrhu projektu. </w:t>
      </w:r>
    </w:p>
    <w:p w14:paraId="66BA8338" w14:textId="690F0135" w:rsidR="005B56E8" w:rsidRPr="005B56E8" w:rsidRDefault="005B56E8" w:rsidP="007F5475">
      <w:pPr>
        <w:pStyle w:val="Odstavecseseznamem"/>
        <w:numPr>
          <w:ilvl w:val="0"/>
          <w:numId w:val="21"/>
        </w:numPr>
        <w:jc w:val="both"/>
      </w:pPr>
      <w:r>
        <w:t>Uvedená doporučení se týkají poskytování účelové podpory. V případech, kde je to možné a</w:t>
      </w:r>
      <w:r w:rsidR="007F5475">
        <w:t> </w:t>
      </w:r>
      <w:r>
        <w:t>v</w:t>
      </w:r>
      <w:r w:rsidR="007F5475">
        <w:t> </w:t>
      </w:r>
      <w:r>
        <w:t>souladu s právní úpravou, je možné je aplikovat i v rámci podpory projektů v oblasti institucionální podpory.</w:t>
      </w:r>
    </w:p>
    <w:p w14:paraId="3C012DC7" w14:textId="77777777" w:rsidR="005B56E8" w:rsidRDefault="005B56E8" w:rsidP="007F5475">
      <w:pPr>
        <w:jc w:val="both"/>
        <w:rPr>
          <w:rFonts w:ascii="Calibri" w:hAnsi="Calibri" w:cs="Calibri"/>
        </w:rPr>
      </w:pPr>
    </w:p>
    <w:sectPr w:rsidR="005B56E8" w:rsidSect="005245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A888F" w14:textId="77777777" w:rsidR="00E56628" w:rsidRDefault="00E56628" w:rsidP="00E16608">
      <w:pPr>
        <w:spacing w:after="0" w:line="240" w:lineRule="auto"/>
      </w:pPr>
      <w:r>
        <w:separator/>
      </w:r>
    </w:p>
  </w:endnote>
  <w:endnote w:type="continuationSeparator" w:id="0">
    <w:p w14:paraId="1656B79F" w14:textId="77777777" w:rsidR="00E56628" w:rsidRDefault="00E56628" w:rsidP="00E16608">
      <w:pPr>
        <w:spacing w:after="0" w:line="240" w:lineRule="auto"/>
      </w:pPr>
      <w:r>
        <w:continuationSeparator/>
      </w:r>
    </w:p>
  </w:endnote>
  <w:endnote w:type="continuationNotice" w:id="1">
    <w:p w14:paraId="7C1FA99F" w14:textId="77777777" w:rsidR="00E56628" w:rsidRDefault="00E56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26436"/>
      <w:docPartObj>
        <w:docPartGallery w:val="Page Numbers (Bottom of Page)"/>
        <w:docPartUnique/>
      </w:docPartObj>
    </w:sdtPr>
    <w:sdtEndPr/>
    <w:sdtContent>
      <w:p w14:paraId="7FB4A7BE" w14:textId="771F235E" w:rsidR="00524582" w:rsidRDefault="00524582">
        <w:pPr>
          <w:pStyle w:val="Zpat"/>
          <w:jc w:val="right"/>
        </w:pPr>
        <w:r>
          <w:fldChar w:fldCharType="begin"/>
        </w:r>
        <w:r>
          <w:instrText>PAGE   \* MERGEFORMAT</w:instrText>
        </w:r>
        <w:r>
          <w:fldChar w:fldCharType="separate"/>
        </w:r>
        <w:r>
          <w:t>2</w:t>
        </w:r>
        <w:r>
          <w:fldChar w:fldCharType="end"/>
        </w:r>
      </w:p>
    </w:sdtContent>
  </w:sdt>
  <w:p w14:paraId="489E7C09" w14:textId="77777777" w:rsidR="003935A4" w:rsidRDefault="00393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35502" w14:textId="77777777" w:rsidR="00E56628" w:rsidRDefault="00E56628" w:rsidP="00E16608">
      <w:pPr>
        <w:spacing w:after="0" w:line="240" w:lineRule="auto"/>
      </w:pPr>
      <w:r>
        <w:separator/>
      </w:r>
    </w:p>
  </w:footnote>
  <w:footnote w:type="continuationSeparator" w:id="0">
    <w:p w14:paraId="2B86E8CB" w14:textId="77777777" w:rsidR="00E56628" w:rsidRDefault="00E56628" w:rsidP="00E16608">
      <w:pPr>
        <w:spacing w:after="0" w:line="240" w:lineRule="auto"/>
      </w:pPr>
      <w:r>
        <w:continuationSeparator/>
      </w:r>
    </w:p>
  </w:footnote>
  <w:footnote w:type="continuationNotice" w:id="1">
    <w:p w14:paraId="405F726E" w14:textId="77777777" w:rsidR="00E56628" w:rsidRDefault="00E56628">
      <w:pPr>
        <w:spacing w:after="0" w:line="240" w:lineRule="auto"/>
      </w:pPr>
    </w:p>
  </w:footnote>
  <w:footnote w:id="2">
    <w:p w14:paraId="11AE316D" w14:textId="1FF50713" w:rsidR="004D5EEB" w:rsidRDefault="004D5EEB">
      <w:pPr>
        <w:pStyle w:val="Textpoznpodarou"/>
      </w:pPr>
      <w:r>
        <w:rPr>
          <w:rStyle w:val="Znakapoznpodarou"/>
        </w:rPr>
        <w:footnoteRef/>
      </w:r>
      <w:r>
        <w:t xml:space="preserve"> </w:t>
      </w:r>
      <w:r w:rsidRPr="004D5EEB">
        <w:t>Pro účely zjednodušení textu zahrnuje pojem program i skupinu grantových projektů, nejsou-li tyto pojmy explicitně odlišovány</w:t>
      </w:r>
    </w:p>
  </w:footnote>
  <w:footnote w:id="3">
    <w:p w14:paraId="11AF17F9" w14:textId="77777777" w:rsidR="003935A4" w:rsidRDefault="003935A4" w:rsidP="004A00DF">
      <w:pPr>
        <w:pStyle w:val="Textkomente"/>
      </w:pPr>
      <w:r>
        <w:rPr>
          <w:rStyle w:val="Znakapoznpodarou"/>
        </w:rPr>
        <w:footnoteRef/>
      </w:r>
      <w:r>
        <w:t xml:space="preserve"> </w:t>
      </w:r>
      <w:r w:rsidRPr="00331BA6">
        <w:t>https://www.horizontevropa.cz/cs/mohlo-by-vas-zajimat/projekt-od-a-do-z/priprava-a-podani-projektoveho-navrhu/informace</w:t>
      </w:r>
    </w:p>
    <w:p w14:paraId="0E6F87B6" w14:textId="4B00C23B" w:rsidR="003935A4" w:rsidRDefault="003935A4">
      <w:pPr>
        <w:pStyle w:val="Textpoznpodarou"/>
      </w:pPr>
    </w:p>
  </w:footnote>
  <w:footnote w:id="4">
    <w:p w14:paraId="43FE5E95" w14:textId="79D060EA" w:rsidR="003935A4" w:rsidRDefault="003935A4" w:rsidP="004A00DF">
      <w:pPr>
        <w:pStyle w:val="Textkomente"/>
      </w:pPr>
      <w:r>
        <w:rPr>
          <w:rStyle w:val="Znakapoznpodarou"/>
        </w:rPr>
        <w:footnoteRef/>
      </w:r>
      <w:r>
        <w:t xml:space="preserve"> Viz Petra Fedorová, Michal Hlavačka, Aneta Kašlíková, Jiří Kotouček, Zuzana Šimek  (2022), Vademecum 2022 Horizont Europa; Granty Evropské rady pro výzkum (ERC); TC AV ČR; </w:t>
      </w:r>
      <w:r w:rsidRPr="0002122A">
        <w:t>ISBN: 978-80-86794-84-6</w:t>
      </w:r>
      <w:r>
        <w:t xml:space="preserve">; </w:t>
      </w:r>
      <w:r w:rsidRPr="00E01A01">
        <w:t>https://www.horizontevropa.cz/files_public/elfinder/3404/Vademecum_Granty%20ERC.pdf</w:t>
      </w:r>
    </w:p>
    <w:p w14:paraId="3281ECE3" w14:textId="17A7B021" w:rsidR="003935A4" w:rsidRDefault="003935A4">
      <w:pPr>
        <w:pStyle w:val="Textpoznpodarou"/>
      </w:pPr>
    </w:p>
  </w:footnote>
  <w:footnote w:id="5">
    <w:p w14:paraId="46AFDE3C" w14:textId="6F0CE327" w:rsidR="003935A4" w:rsidRDefault="003935A4">
      <w:pPr>
        <w:pStyle w:val="Textpoznpodarou"/>
      </w:pPr>
      <w:r>
        <w:rPr>
          <w:rStyle w:val="Znakapoznpodarou"/>
        </w:rPr>
        <w:footnoteRef/>
      </w:r>
      <w:r>
        <w:t xml:space="preserve"> Viz připravovaný dokument „Zásady </w:t>
      </w:r>
      <w:r w:rsidRPr="00DC35BA">
        <w:t>přípravy a hodnocení programů účelové podpory výzkumu, vývoje a</w:t>
      </w:r>
      <w:r w:rsidR="00804D9A">
        <w:t> </w:t>
      </w:r>
      <w:r w:rsidRPr="00DC35BA">
        <w:t>inovací a jejich dopadů</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32E44" w14:textId="72CCA50F" w:rsidR="00677F71" w:rsidRDefault="00677F71">
    <w:pPr>
      <w:pStyle w:val="Zhlav"/>
    </w:pPr>
    <w:r>
      <w:rPr>
        <w:noProof/>
      </w:rPr>
      <w:drawing>
        <wp:anchor distT="152400" distB="152400" distL="152400" distR="152400" simplePos="0" relativeHeight="251659264" behindDoc="1" locked="1" layoutInCell="1" allowOverlap="0" wp14:anchorId="2FE52C02" wp14:editId="2A8DC782">
          <wp:simplePos x="0" y="0"/>
          <wp:positionH relativeFrom="margin">
            <wp:posOffset>-47625</wp:posOffset>
          </wp:positionH>
          <wp:positionV relativeFrom="topMargin">
            <wp:posOffset>144145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E7263"/>
    <w:multiLevelType w:val="multilevel"/>
    <w:tmpl w:val="30F81C2E"/>
    <w:lvl w:ilvl="0">
      <w:start w:val="1"/>
      <w:numFmt w:val="decimal"/>
      <w:pStyle w:val="Nadpis1"/>
      <w:lvlText w:val="%1"/>
      <w:lvlJc w:val="left"/>
      <w:pPr>
        <w:ind w:left="432" w:hanging="432"/>
      </w:pPr>
      <w:rPr>
        <w:sz w:val="28"/>
        <w:szCs w:val="28"/>
      </w:rPr>
    </w:lvl>
    <w:lvl w:ilvl="1">
      <w:start w:val="1"/>
      <w:numFmt w:val="decimal"/>
      <w:pStyle w:val="Nadpis2"/>
      <w:lvlText w:val="%1.%2"/>
      <w:lvlJc w:val="left"/>
      <w:pPr>
        <w:ind w:left="1568" w:hanging="576"/>
      </w:pPr>
      <w:rPr>
        <w:rFonts w:asciiTheme="minorHAnsi" w:hAnsiTheme="minorHAnsi" w:cstheme="minorHAnsi" w:hint="default"/>
      </w:rPr>
    </w:lvl>
    <w:lvl w:ilvl="2">
      <w:start w:val="1"/>
      <w:numFmt w:val="decimal"/>
      <w:pStyle w:val="Nadpis3"/>
      <w:lvlText w:val="%1.%2.%3"/>
      <w:lvlJc w:val="left"/>
      <w:pPr>
        <w:ind w:left="1429"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0DBE71FA"/>
    <w:multiLevelType w:val="hybridMultilevel"/>
    <w:tmpl w:val="873EC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6B5424"/>
    <w:multiLevelType w:val="hybridMultilevel"/>
    <w:tmpl w:val="ACD29FB0"/>
    <w:lvl w:ilvl="0" w:tplc="1070D4B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500261"/>
    <w:multiLevelType w:val="hybridMultilevel"/>
    <w:tmpl w:val="CA8E5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89109B"/>
    <w:multiLevelType w:val="hybridMultilevel"/>
    <w:tmpl w:val="75547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21F06"/>
    <w:multiLevelType w:val="hybridMultilevel"/>
    <w:tmpl w:val="FE105B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187B7E"/>
    <w:multiLevelType w:val="hybridMultilevel"/>
    <w:tmpl w:val="BEE60398"/>
    <w:lvl w:ilvl="0" w:tplc="779CFF2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FD31E39"/>
    <w:multiLevelType w:val="hybridMultilevel"/>
    <w:tmpl w:val="BDFE4B0A"/>
    <w:lvl w:ilvl="0" w:tplc="1070D4B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DE0F6F"/>
    <w:multiLevelType w:val="hybridMultilevel"/>
    <w:tmpl w:val="547EEF16"/>
    <w:lvl w:ilvl="0" w:tplc="AE904EFA">
      <w:start w:val="1"/>
      <w:numFmt w:val="bullet"/>
      <w:lvlText w:val=""/>
      <w:lvlJc w:val="left"/>
      <w:pPr>
        <w:ind w:left="720" w:hanging="360"/>
      </w:pPr>
      <w:rPr>
        <w:rFonts w:ascii="Wingdings" w:hAnsi="Wingdings" w:hint="default"/>
        <w:b/>
        <w:color w:val="FFC000"/>
        <w:sz w:val="4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B3787B"/>
    <w:multiLevelType w:val="hybridMultilevel"/>
    <w:tmpl w:val="BC8832B4"/>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0D25101"/>
    <w:multiLevelType w:val="hybridMultilevel"/>
    <w:tmpl w:val="5CBE3D7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2A260CC"/>
    <w:multiLevelType w:val="hybridMultilevel"/>
    <w:tmpl w:val="9AC04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F7B31F3"/>
    <w:multiLevelType w:val="hybridMultilevel"/>
    <w:tmpl w:val="02AE4B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1271FD"/>
    <w:multiLevelType w:val="hybridMultilevel"/>
    <w:tmpl w:val="A4DE87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65792A1F"/>
    <w:multiLevelType w:val="hybridMultilevel"/>
    <w:tmpl w:val="213A277C"/>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670A30B1"/>
    <w:multiLevelType w:val="hybridMultilevel"/>
    <w:tmpl w:val="67988D1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0A1CCB"/>
    <w:multiLevelType w:val="hybridMultilevel"/>
    <w:tmpl w:val="91C01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EE75227"/>
    <w:multiLevelType w:val="hybridMultilevel"/>
    <w:tmpl w:val="EF924E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904998"/>
    <w:multiLevelType w:val="hybridMultilevel"/>
    <w:tmpl w:val="BD98FB3C"/>
    <w:lvl w:ilvl="0" w:tplc="DDB282A2">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7681FC4"/>
    <w:multiLevelType w:val="multilevel"/>
    <w:tmpl w:val="6616DC40"/>
    <w:lvl w:ilvl="0">
      <w:start w:val="6"/>
      <w:numFmt w:val="decimal"/>
      <w:lvlText w:val="%1."/>
      <w:lvlJc w:val="left"/>
      <w:pPr>
        <w:ind w:left="540" w:hanging="540"/>
      </w:pPr>
      <w:rPr>
        <w:rFonts w:hint="default"/>
        <w:sz w:val="28"/>
        <w:szCs w:val="28"/>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E904133"/>
    <w:multiLevelType w:val="hybridMultilevel"/>
    <w:tmpl w:val="2758D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3925630">
    <w:abstractNumId w:val="0"/>
  </w:num>
  <w:num w:numId="2" w16cid:durableId="572205126">
    <w:abstractNumId w:val="17"/>
  </w:num>
  <w:num w:numId="3" w16cid:durableId="918447345">
    <w:abstractNumId w:val="12"/>
  </w:num>
  <w:num w:numId="4" w16cid:durableId="1098868451">
    <w:abstractNumId w:val="10"/>
  </w:num>
  <w:num w:numId="5" w16cid:durableId="1582569354">
    <w:abstractNumId w:val="13"/>
  </w:num>
  <w:num w:numId="6" w16cid:durableId="1469124558">
    <w:abstractNumId w:val="14"/>
  </w:num>
  <w:num w:numId="7" w16cid:durableId="542405351">
    <w:abstractNumId w:val="6"/>
  </w:num>
  <w:num w:numId="8" w16cid:durableId="568881840">
    <w:abstractNumId w:val="5"/>
  </w:num>
  <w:num w:numId="9" w16cid:durableId="1001738593">
    <w:abstractNumId w:val="9"/>
  </w:num>
  <w:num w:numId="10" w16cid:durableId="337737515">
    <w:abstractNumId w:val="18"/>
  </w:num>
  <w:num w:numId="11" w16cid:durableId="1247225337">
    <w:abstractNumId w:val="3"/>
  </w:num>
  <w:num w:numId="12" w16cid:durableId="340545068">
    <w:abstractNumId w:val="4"/>
  </w:num>
  <w:num w:numId="13" w16cid:durableId="955212066">
    <w:abstractNumId w:val="16"/>
  </w:num>
  <w:num w:numId="14" w16cid:durableId="1499346464">
    <w:abstractNumId w:val="20"/>
  </w:num>
  <w:num w:numId="15" w16cid:durableId="2128548053">
    <w:abstractNumId w:val="15"/>
  </w:num>
  <w:num w:numId="16" w16cid:durableId="1686398993">
    <w:abstractNumId w:val="8"/>
  </w:num>
  <w:num w:numId="17" w16cid:durableId="1693531346">
    <w:abstractNumId w:val="2"/>
  </w:num>
  <w:num w:numId="18" w16cid:durableId="1832016292">
    <w:abstractNumId w:val="7"/>
  </w:num>
  <w:num w:numId="19" w16cid:durableId="131487304">
    <w:abstractNumId w:val="19"/>
  </w:num>
  <w:num w:numId="20" w16cid:durableId="54354443">
    <w:abstractNumId w:val="1"/>
  </w:num>
  <w:num w:numId="21" w16cid:durableId="83572479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8"/>
    <w:rsid w:val="00001316"/>
    <w:rsid w:val="00001ED8"/>
    <w:rsid w:val="000142CE"/>
    <w:rsid w:val="00015115"/>
    <w:rsid w:val="00016A26"/>
    <w:rsid w:val="00021ECE"/>
    <w:rsid w:val="00022F5F"/>
    <w:rsid w:val="00023006"/>
    <w:rsid w:val="00024718"/>
    <w:rsid w:val="0002542E"/>
    <w:rsid w:val="000267DA"/>
    <w:rsid w:val="00027C6D"/>
    <w:rsid w:val="000378E4"/>
    <w:rsid w:val="00041BC9"/>
    <w:rsid w:val="000449F1"/>
    <w:rsid w:val="00045BAF"/>
    <w:rsid w:val="000470B1"/>
    <w:rsid w:val="00047D90"/>
    <w:rsid w:val="0005033A"/>
    <w:rsid w:val="00052620"/>
    <w:rsid w:val="000562EF"/>
    <w:rsid w:val="0006074C"/>
    <w:rsid w:val="00060C16"/>
    <w:rsid w:val="0006353A"/>
    <w:rsid w:val="0006556B"/>
    <w:rsid w:val="0007390E"/>
    <w:rsid w:val="000813FF"/>
    <w:rsid w:val="00083B3A"/>
    <w:rsid w:val="00090DA4"/>
    <w:rsid w:val="000913CA"/>
    <w:rsid w:val="0009355C"/>
    <w:rsid w:val="00093B01"/>
    <w:rsid w:val="000A18E2"/>
    <w:rsid w:val="000A19B4"/>
    <w:rsid w:val="000A2786"/>
    <w:rsid w:val="000A29C7"/>
    <w:rsid w:val="000A74C5"/>
    <w:rsid w:val="000B2B10"/>
    <w:rsid w:val="000C4E61"/>
    <w:rsid w:val="000C7BAA"/>
    <w:rsid w:val="000D34B8"/>
    <w:rsid w:val="000D3A9E"/>
    <w:rsid w:val="000D5B43"/>
    <w:rsid w:val="000E2ABC"/>
    <w:rsid w:val="000E374C"/>
    <w:rsid w:val="000E6BEB"/>
    <w:rsid w:val="000F13FB"/>
    <w:rsid w:val="000F3604"/>
    <w:rsid w:val="0010089D"/>
    <w:rsid w:val="00101D2D"/>
    <w:rsid w:val="00104BF4"/>
    <w:rsid w:val="00105120"/>
    <w:rsid w:val="00107D19"/>
    <w:rsid w:val="001115A8"/>
    <w:rsid w:val="00111E8E"/>
    <w:rsid w:val="00112874"/>
    <w:rsid w:val="001135C1"/>
    <w:rsid w:val="0012149A"/>
    <w:rsid w:val="00123CEF"/>
    <w:rsid w:val="00124104"/>
    <w:rsid w:val="001270E3"/>
    <w:rsid w:val="0013425C"/>
    <w:rsid w:val="00134918"/>
    <w:rsid w:val="0013642C"/>
    <w:rsid w:val="00137DCF"/>
    <w:rsid w:val="00141192"/>
    <w:rsid w:val="00142F55"/>
    <w:rsid w:val="001434F3"/>
    <w:rsid w:val="0014655D"/>
    <w:rsid w:val="00147C9C"/>
    <w:rsid w:val="0015032D"/>
    <w:rsid w:val="001526F4"/>
    <w:rsid w:val="00153F00"/>
    <w:rsid w:val="0015518D"/>
    <w:rsid w:val="0015597F"/>
    <w:rsid w:val="00157C05"/>
    <w:rsid w:val="001637C2"/>
    <w:rsid w:val="00166974"/>
    <w:rsid w:val="001670CF"/>
    <w:rsid w:val="001817D9"/>
    <w:rsid w:val="0018206D"/>
    <w:rsid w:val="001A091A"/>
    <w:rsid w:val="001A0959"/>
    <w:rsid w:val="001A21BA"/>
    <w:rsid w:val="001A2E62"/>
    <w:rsid w:val="001A4196"/>
    <w:rsid w:val="001A4222"/>
    <w:rsid w:val="001A4EF1"/>
    <w:rsid w:val="001B05D1"/>
    <w:rsid w:val="001B1FCB"/>
    <w:rsid w:val="001B62F4"/>
    <w:rsid w:val="001C0C88"/>
    <w:rsid w:val="001C39A2"/>
    <w:rsid w:val="001C3A58"/>
    <w:rsid w:val="001C431F"/>
    <w:rsid w:val="001C5008"/>
    <w:rsid w:val="001C5D46"/>
    <w:rsid w:val="001D16C8"/>
    <w:rsid w:val="001D3526"/>
    <w:rsid w:val="001D359C"/>
    <w:rsid w:val="001D46BE"/>
    <w:rsid w:val="001D5C70"/>
    <w:rsid w:val="001E0C3D"/>
    <w:rsid w:val="001E1265"/>
    <w:rsid w:val="001E4B0C"/>
    <w:rsid w:val="001F2022"/>
    <w:rsid w:val="001F41F4"/>
    <w:rsid w:val="001F75CD"/>
    <w:rsid w:val="00200866"/>
    <w:rsid w:val="0020216A"/>
    <w:rsid w:val="002024C8"/>
    <w:rsid w:val="00204026"/>
    <w:rsid w:val="00204881"/>
    <w:rsid w:val="0020548D"/>
    <w:rsid w:val="0021177E"/>
    <w:rsid w:val="00211C7B"/>
    <w:rsid w:val="002131BC"/>
    <w:rsid w:val="00215738"/>
    <w:rsid w:val="00221791"/>
    <w:rsid w:val="00221BE4"/>
    <w:rsid w:val="00231191"/>
    <w:rsid w:val="00236A7C"/>
    <w:rsid w:val="00237428"/>
    <w:rsid w:val="0024280A"/>
    <w:rsid w:val="00244A61"/>
    <w:rsid w:val="002469A1"/>
    <w:rsid w:val="00253B5A"/>
    <w:rsid w:val="002544B0"/>
    <w:rsid w:val="00257610"/>
    <w:rsid w:val="002624A7"/>
    <w:rsid w:val="00262554"/>
    <w:rsid w:val="00263531"/>
    <w:rsid w:val="00271152"/>
    <w:rsid w:val="0027561B"/>
    <w:rsid w:val="00277D8C"/>
    <w:rsid w:val="00286015"/>
    <w:rsid w:val="00292167"/>
    <w:rsid w:val="002936AF"/>
    <w:rsid w:val="00294B7E"/>
    <w:rsid w:val="002951E9"/>
    <w:rsid w:val="00296164"/>
    <w:rsid w:val="002A1369"/>
    <w:rsid w:val="002A26EF"/>
    <w:rsid w:val="002A4C52"/>
    <w:rsid w:val="002A7F4E"/>
    <w:rsid w:val="002B0AEA"/>
    <w:rsid w:val="002B2384"/>
    <w:rsid w:val="002B2A57"/>
    <w:rsid w:val="002B3CA6"/>
    <w:rsid w:val="002B5A8C"/>
    <w:rsid w:val="002B620C"/>
    <w:rsid w:val="002C25DC"/>
    <w:rsid w:val="002C33DF"/>
    <w:rsid w:val="002C472B"/>
    <w:rsid w:val="002D114E"/>
    <w:rsid w:val="002D63E1"/>
    <w:rsid w:val="002D6433"/>
    <w:rsid w:val="002D7296"/>
    <w:rsid w:val="002E31DD"/>
    <w:rsid w:val="002E373E"/>
    <w:rsid w:val="002E4E2E"/>
    <w:rsid w:val="002E61CB"/>
    <w:rsid w:val="002F31C3"/>
    <w:rsid w:val="002F553C"/>
    <w:rsid w:val="002F793B"/>
    <w:rsid w:val="00300D06"/>
    <w:rsid w:val="0030443C"/>
    <w:rsid w:val="00312C07"/>
    <w:rsid w:val="00314CF5"/>
    <w:rsid w:val="003161D3"/>
    <w:rsid w:val="0031769B"/>
    <w:rsid w:val="0032359E"/>
    <w:rsid w:val="00326B11"/>
    <w:rsid w:val="00327494"/>
    <w:rsid w:val="00330066"/>
    <w:rsid w:val="003314A9"/>
    <w:rsid w:val="00333339"/>
    <w:rsid w:val="00334298"/>
    <w:rsid w:val="00335786"/>
    <w:rsid w:val="0034177A"/>
    <w:rsid w:val="003419DD"/>
    <w:rsid w:val="003426B7"/>
    <w:rsid w:val="00344370"/>
    <w:rsid w:val="00352E79"/>
    <w:rsid w:val="0035305D"/>
    <w:rsid w:val="003607F1"/>
    <w:rsid w:val="0036128A"/>
    <w:rsid w:val="003639F0"/>
    <w:rsid w:val="00365D2D"/>
    <w:rsid w:val="0036695C"/>
    <w:rsid w:val="00366CC1"/>
    <w:rsid w:val="0037214D"/>
    <w:rsid w:val="0037435E"/>
    <w:rsid w:val="003749C5"/>
    <w:rsid w:val="00377F51"/>
    <w:rsid w:val="00382910"/>
    <w:rsid w:val="00385E83"/>
    <w:rsid w:val="003935A4"/>
    <w:rsid w:val="00396B5C"/>
    <w:rsid w:val="003A0F3C"/>
    <w:rsid w:val="003A2AFF"/>
    <w:rsid w:val="003A32DA"/>
    <w:rsid w:val="003A7CF9"/>
    <w:rsid w:val="003B2FFC"/>
    <w:rsid w:val="003B4E5B"/>
    <w:rsid w:val="003B7208"/>
    <w:rsid w:val="003C0430"/>
    <w:rsid w:val="003C10A3"/>
    <w:rsid w:val="003C5170"/>
    <w:rsid w:val="003C660B"/>
    <w:rsid w:val="003D551A"/>
    <w:rsid w:val="003D58DB"/>
    <w:rsid w:val="003D7717"/>
    <w:rsid w:val="003E1247"/>
    <w:rsid w:val="003E1CEB"/>
    <w:rsid w:val="003E2379"/>
    <w:rsid w:val="003E33D1"/>
    <w:rsid w:val="003F0F7B"/>
    <w:rsid w:val="003F244A"/>
    <w:rsid w:val="003F245A"/>
    <w:rsid w:val="003F2EC3"/>
    <w:rsid w:val="003F5157"/>
    <w:rsid w:val="003F6ABF"/>
    <w:rsid w:val="003F781F"/>
    <w:rsid w:val="00400AD6"/>
    <w:rsid w:val="00402EF5"/>
    <w:rsid w:val="00404226"/>
    <w:rsid w:val="00406389"/>
    <w:rsid w:val="00410CFA"/>
    <w:rsid w:val="00411095"/>
    <w:rsid w:val="004155FC"/>
    <w:rsid w:val="00415840"/>
    <w:rsid w:val="004223D6"/>
    <w:rsid w:val="00422C44"/>
    <w:rsid w:val="00422D4F"/>
    <w:rsid w:val="00424ABA"/>
    <w:rsid w:val="0042624F"/>
    <w:rsid w:val="00430C22"/>
    <w:rsid w:val="00434A11"/>
    <w:rsid w:val="00440911"/>
    <w:rsid w:val="00445F22"/>
    <w:rsid w:val="00447604"/>
    <w:rsid w:val="0045005C"/>
    <w:rsid w:val="00454957"/>
    <w:rsid w:val="00461CFB"/>
    <w:rsid w:val="004627FE"/>
    <w:rsid w:val="00462DB4"/>
    <w:rsid w:val="00463148"/>
    <w:rsid w:val="0046358D"/>
    <w:rsid w:val="00470BE0"/>
    <w:rsid w:val="00474BB7"/>
    <w:rsid w:val="00475664"/>
    <w:rsid w:val="00481B0B"/>
    <w:rsid w:val="0048339C"/>
    <w:rsid w:val="00484C59"/>
    <w:rsid w:val="00486948"/>
    <w:rsid w:val="0049374C"/>
    <w:rsid w:val="00495C5D"/>
    <w:rsid w:val="0049741B"/>
    <w:rsid w:val="00497BDD"/>
    <w:rsid w:val="00497C8C"/>
    <w:rsid w:val="004A00DF"/>
    <w:rsid w:val="004A01A2"/>
    <w:rsid w:val="004A19FB"/>
    <w:rsid w:val="004A35ED"/>
    <w:rsid w:val="004A584A"/>
    <w:rsid w:val="004B2835"/>
    <w:rsid w:val="004B76EA"/>
    <w:rsid w:val="004C17E1"/>
    <w:rsid w:val="004C1E24"/>
    <w:rsid w:val="004D00E7"/>
    <w:rsid w:val="004D1C7E"/>
    <w:rsid w:val="004D575C"/>
    <w:rsid w:val="004D5EEB"/>
    <w:rsid w:val="004D617B"/>
    <w:rsid w:val="004E09C3"/>
    <w:rsid w:val="004E1C4F"/>
    <w:rsid w:val="004E2CDB"/>
    <w:rsid w:val="004E4DD8"/>
    <w:rsid w:val="004E68FC"/>
    <w:rsid w:val="004F06F8"/>
    <w:rsid w:val="004F1AA6"/>
    <w:rsid w:val="004F3677"/>
    <w:rsid w:val="004F4982"/>
    <w:rsid w:val="004F73F9"/>
    <w:rsid w:val="004F7F91"/>
    <w:rsid w:val="00501F6C"/>
    <w:rsid w:val="00502957"/>
    <w:rsid w:val="005076E9"/>
    <w:rsid w:val="00520D5B"/>
    <w:rsid w:val="00522E26"/>
    <w:rsid w:val="00523F02"/>
    <w:rsid w:val="00524582"/>
    <w:rsid w:val="00527761"/>
    <w:rsid w:val="00527A23"/>
    <w:rsid w:val="00530FBF"/>
    <w:rsid w:val="005326EA"/>
    <w:rsid w:val="00533F18"/>
    <w:rsid w:val="00540B7E"/>
    <w:rsid w:val="00542CB2"/>
    <w:rsid w:val="00544D13"/>
    <w:rsid w:val="00544DA6"/>
    <w:rsid w:val="00546490"/>
    <w:rsid w:val="0054656B"/>
    <w:rsid w:val="00546925"/>
    <w:rsid w:val="00550E04"/>
    <w:rsid w:val="00553871"/>
    <w:rsid w:val="005553FE"/>
    <w:rsid w:val="00556E56"/>
    <w:rsid w:val="005571B8"/>
    <w:rsid w:val="00557403"/>
    <w:rsid w:val="005622D4"/>
    <w:rsid w:val="00564DF2"/>
    <w:rsid w:val="00567BC8"/>
    <w:rsid w:val="00582342"/>
    <w:rsid w:val="005872E8"/>
    <w:rsid w:val="00590D27"/>
    <w:rsid w:val="00593C9F"/>
    <w:rsid w:val="005975E1"/>
    <w:rsid w:val="005B1C5A"/>
    <w:rsid w:val="005B1E5C"/>
    <w:rsid w:val="005B51D2"/>
    <w:rsid w:val="005B56E8"/>
    <w:rsid w:val="005C591B"/>
    <w:rsid w:val="005D33FC"/>
    <w:rsid w:val="005D4DCC"/>
    <w:rsid w:val="005E1DC6"/>
    <w:rsid w:val="005F03D3"/>
    <w:rsid w:val="005F0BDF"/>
    <w:rsid w:val="005F20C6"/>
    <w:rsid w:val="005F20F5"/>
    <w:rsid w:val="005F2A47"/>
    <w:rsid w:val="00601248"/>
    <w:rsid w:val="00604483"/>
    <w:rsid w:val="006052DD"/>
    <w:rsid w:val="00607663"/>
    <w:rsid w:val="00610C8F"/>
    <w:rsid w:val="00617D04"/>
    <w:rsid w:val="00617E1B"/>
    <w:rsid w:val="006205BD"/>
    <w:rsid w:val="00620E7C"/>
    <w:rsid w:val="006262D6"/>
    <w:rsid w:val="00627EA8"/>
    <w:rsid w:val="0063272A"/>
    <w:rsid w:val="0064064A"/>
    <w:rsid w:val="0064308E"/>
    <w:rsid w:val="006432AC"/>
    <w:rsid w:val="00646948"/>
    <w:rsid w:val="0064738F"/>
    <w:rsid w:val="0064741C"/>
    <w:rsid w:val="00650757"/>
    <w:rsid w:val="006549A4"/>
    <w:rsid w:val="00655214"/>
    <w:rsid w:val="0065711E"/>
    <w:rsid w:val="00657734"/>
    <w:rsid w:val="00662D17"/>
    <w:rsid w:val="00662E67"/>
    <w:rsid w:val="00672B4D"/>
    <w:rsid w:val="00673499"/>
    <w:rsid w:val="00673CA7"/>
    <w:rsid w:val="006741F5"/>
    <w:rsid w:val="006744D7"/>
    <w:rsid w:val="00677F71"/>
    <w:rsid w:val="00681206"/>
    <w:rsid w:val="00682696"/>
    <w:rsid w:val="00685442"/>
    <w:rsid w:val="00685F46"/>
    <w:rsid w:val="00690311"/>
    <w:rsid w:val="00692ACF"/>
    <w:rsid w:val="00693EF4"/>
    <w:rsid w:val="0069479B"/>
    <w:rsid w:val="00695335"/>
    <w:rsid w:val="00695512"/>
    <w:rsid w:val="006A091A"/>
    <w:rsid w:val="006A2AF9"/>
    <w:rsid w:val="006A4C80"/>
    <w:rsid w:val="006A5F24"/>
    <w:rsid w:val="006A759A"/>
    <w:rsid w:val="006C12B1"/>
    <w:rsid w:val="006C2EBB"/>
    <w:rsid w:val="006C418D"/>
    <w:rsid w:val="006C4870"/>
    <w:rsid w:val="006C4D9C"/>
    <w:rsid w:val="006C707D"/>
    <w:rsid w:val="006D0ACF"/>
    <w:rsid w:val="006D1551"/>
    <w:rsid w:val="006D5F96"/>
    <w:rsid w:val="006E0112"/>
    <w:rsid w:val="006E3046"/>
    <w:rsid w:val="006E3DBC"/>
    <w:rsid w:val="006E50A8"/>
    <w:rsid w:val="006E6D0A"/>
    <w:rsid w:val="006F06E2"/>
    <w:rsid w:val="006F27E6"/>
    <w:rsid w:val="00701AB0"/>
    <w:rsid w:val="00705AF6"/>
    <w:rsid w:val="00714475"/>
    <w:rsid w:val="00717543"/>
    <w:rsid w:val="0072127E"/>
    <w:rsid w:val="007229AF"/>
    <w:rsid w:val="00722F19"/>
    <w:rsid w:val="00730D32"/>
    <w:rsid w:val="00733D72"/>
    <w:rsid w:val="00736049"/>
    <w:rsid w:val="0074043D"/>
    <w:rsid w:val="0074125D"/>
    <w:rsid w:val="00743BE4"/>
    <w:rsid w:val="00745C3B"/>
    <w:rsid w:val="00746AA9"/>
    <w:rsid w:val="0074728F"/>
    <w:rsid w:val="00753467"/>
    <w:rsid w:val="0075408B"/>
    <w:rsid w:val="00754629"/>
    <w:rsid w:val="0075464F"/>
    <w:rsid w:val="00755352"/>
    <w:rsid w:val="00760271"/>
    <w:rsid w:val="007632FB"/>
    <w:rsid w:val="00766CF0"/>
    <w:rsid w:val="00770DAC"/>
    <w:rsid w:val="00774759"/>
    <w:rsid w:val="0077493A"/>
    <w:rsid w:val="007750FB"/>
    <w:rsid w:val="007757B8"/>
    <w:rsid w:val="007800A6"/>
    <w:rsid w:val="00780109"/>
    <w:rsid w:val="007812FD"/>
    <w:rsid w:val="00782FA9"/>
    <w:rsid w:val="00784701"/>
    <w:rsid w:val="007853AC"/>
    <w:rsid w:val="00790CB6"/>
    <w:rsid w:val="00792962"/>
    <w:rsid w:val="00796FCE"/>
    <w:rsid w:val="00797653"/>
    <w:rsid w:val="007A1FE6"/>
    <w:rsid w:val="007A2F27"/>
    <w:rsid w:val="007A6346"/>
    <w:rsid w:val="007B34B2"/>
    <w:rsid w:val="007C13A3"/>
    <w:rsid w:val="007C3680"/>
    <w:rsid w:val="007C41BA"/>
    <w:rsid w:val="007D4A21"/>
    <w:rsid w:val="007E3CCA"/>
    <w:rsid w:val="007E4D4E"/>
    <w:rsid w:val="007E6B7C"/>
    <w:rsid w:val="007E737A"/>
    <w:rsid w:val="007F1794"/>
    <w:rsid w:val="007F2931"/>
    <w:rsid w:val="007F2CB0"/>
    <w:rsid w:val="007F5475"/>
    <w:rsid w:val="00800756"/>
    <w:rsid w:val="008013A7"/>
    <w:rsid w:val="008038B1"/>
    <w:rsid w:val="00803EEF"/>
    <w:rsid w:val="00804D9A"/>
    <w:rsid w:val="00807BCD"/>
    <w:rsid w:val="00810919"/>
    <w:rsid w:val="008220E6"/>
    <w:rsid w:val="00824B81"/>
    <w:rsid w:val="0082635B"/>
    <w:rsid w:val="00830799"/>
    <w:rsid w:val="00834778"/>
    <w:rsid w:val="008403CD"/>
    <w:rsid w:val="00840ECB"/>
    <w:rsid w:val="008414F4"/>
    <w:rsid w:val="00842C84"/>
    <w:rsid w:val="00844B7F"/>
    <w:rsid w:val="00845310"/>
    <w:rsid w:val="00845B6E"/>
    <w:rsid w:val="008479D5"/>
    <w:rsid w:val="008500ED"/>
    <w:rsid w:val="008503B1"/>
    <w:rsid w:val="00852945"/>
    <w:rsid w:val="008611C3"/>
    <w:rsid w:val="008620BE"/>
    <w:rsid w:val="00864CFD"/>
    <w:rsid w:val="00873B44"/>
    <w:rsid w:val="00876AC5"/>
    <w:rsid w:val="008771B1"/>
    <w:rsid w:val="0088006C"/>
    <w:rsid w:val="00883DC3"/>
    <w:rsid w:val="008847B5"/>
    <w:rsid w:val="00886F3B"/>
    <w:rsid w:val="008874FA"/>
    <w:rsid w:val="00887758"/>
    <w:rsid w:val="0089217A"/>
    <w:rsid w:val="008922B0"/>
    <w:rsid w:val="00892D89"/>
    <w:rsid w:val="008930CC"/>
    <w:rsid w:val="00893425"/>
    <w:rsid w:val="008958F8"/>
    <w:rsid w:val="00896C0D"/>
    <w:rsid w:val="008A2740"/>
    <w:rsid w:val="008B4031"/>
    <w:rsid w:val="008C11BC"/>
    <w:rsid w:val="008C3526"/>
    <w:rsid w:val="008C5A97"/>
    <w:rsid w:val="008D0907"/>
    <w:rsid w:val="008D0BE1"/>
    <w:rsid w:val="008D0CCA"/>
    <w:rsid w:val="008D13F3"/>
    <w:rsid w:val="008D437C"/>
    <w:rsid w:val="008E0470"/>
    <w:rsid w:val="008E471C"/>
    <w:rsid w:val="008E6BF1"/>
    <w:rsid w:val="00901D79"/>
    <w:rsid w:val="00902F55"/>
    <w:rsid w:val="00910D73"/>
    <w:rsid w:val="00912E85"/>
    <w:rsid w:val="00915153"/>
    <w:rsid w:val="00915515"/>
    <w:rsid w:val="0091634F"/>
    <w:rsid w:val="009207BE"/>
    <w:rsid w:val="00922281"/>
    <w:rsid w:val="00923FA7"/>
    <w:rsid w:val="0092616E"/>
    <w:rsid w:val="00935DEE"/>
    <w:rsid w:val="00936DF6"/>
    <w:rsid w:val="0094135B"/>
    <w:rsid w:val="00942CC2"/>
    <w:rsid w:val="0094445B"/>
    <w:rsid w:val="00952E25"/>
    <w:rsid w:val="0096600D"/>
    <w:rsid w:val="00966B9C"/>
    <w:rsid w:val="00975F25"/>
    <w:rsid w:val="00982757"/>
    <w:rsid w:val="009830BB"/>
    <w:rsid w:val="0098341A"/>
    <w:rsid w:val="009839C7"/>
    <w:rsid w:val="0098580B"/>
    <w:rsid w:val="00985AF7"/>
    <w:rsid w:val="00985B06"/>
    <w:rsid w:val="00987F66"/>
    <w:rsid w:val="0099490A"/>
    <w:rsid w:val="009955D6"/>
    <w:rsid w:val="00997AF2"/>
    <w:rsid w:val="009A21E9"/>
    <w:rsid w:val="009A680C"/>
    <w:rsid w:val="009A75BC"/>
    <w:rsid w:val="009A778C"/>
    <w:rsid w:val="009B4354"/>
    <w:rsid w:val="009B6670"/>
    <w:rsid w:val="009B7569"/>
    <w:rsid w:val="009C0679"/>
    <w:rsid w:val="009C4669"/>
    <w:rsid w:val="009C56E2"/>
    <w:rsid w:val="009C654A"/>
    <w:rsid w:val="009D6A19"/>
    <w:rsid w:val="009D786B"/>
    <w:rsid w:val="009E16FC"/>
    <w:rsid w:val="009E3B16"/>
    <w:rsid w:val="009E4FB1"/>
    <w:rsid w:val="009F61C8"/>
    <w:rsid w:val="00A02E10"/>
    <w:rsid w:val="00A03997"/>
    <w:rsid w:val="00A14963"/>
    <w:rsid w:val="00A21938"/>
    <w:rsid w:val="00A248BE"/>
    <w:rsid w:val="00A24A10"/>
    <w:rsid w:val="00A255E7"/>
    <w:rsid w:val="00A3230D"/>
    <w:rsid w:val="00A32409"/>
    <w:rsid w:val="00A4482B"/>
    <w:rsid w:val="00A45B1B"/>
    <w:rsid w:val="00A46A8B"/>
    <w:rsid w:val="00A473AB"/>
    <w:rsid w:val="00A47DFD"/>
    <w:rsid w:val="00A50494"/>
    <w:rsid w:val="00A5251A"/>
    <w:rsid w:val="00A544BC"/>
    <w:rsid w:val="00A64A78"/>
    <w:rsid w:val="00A667F5"/>
    <w:rsid w:val="00A674EC"/>
    <w:rsid w:val="00A71BFA"/>
    <w:rsid w:val="00A72015"/>
    <w:rsid w:val="00A7300E"/>
    <w:rsid w:val="00A83205"/>
    <w:rsid w:val="00A851BB"/>
    <w:rsid w:val="00A9491E"/>
    <w:rsid w:val="00A967D3"/>
    <w:rsid w:val="00A978F5"/>
    <w:rsid w:val="00AA62E5"/>
    <w:rsid w:val="00AB60D5"/>
    <w:rsid w:val="00AB72CE"/>
    <w:rsid w:val="00AC0AD6"/>
    <w:rsid w:val="00AC1B5F"/>
    <w:rsid w:val="00AC336D"/>
    <w:rsid w:val="00AC4D7D"/>
    <w:rsid w:val="00AC76E8"/>
    <w:rsid w:val="00AD02FC"/>
    <w:rsid w:val="00AD0745"/>
    <w:rsid w:val="00AD4336"/>
    <w:rsid w:val="00AE0F1A"/>
    <w:rsid w:val="00AE2577"/>
    <w:rsid w:val="00AE4738"/>
    <w:rsid w:val="00AE69D2"/>
    <w:rsid w:val="00AF1E69"/>
    <w:rsid w:val="00AF37B8"/>
    <w:rsid w:val="00AF5418"/>
    <w:rsid w:val="00AF7940"/>
    <w:rsid w:val="00AF7F8E"/>
    <w:rsid w:val="00B0648C"/>
    <w:rsid w:val="00B123ED"/>
    <w:rsid w:val="00B130C5"/>
    <w:rsid w:val="00B138B8"/>
    <w:rsid w:val="00B221AF"/>
    <w:rsid w:val="00B221CF"/>
    <w:rsid w:val="00B22CAA"/>
    <w:rsid w:val="00B23B58"/>
    <w:rsid w:val="00B23E5E"/>
    <w:rsid w:val="00B274B7"/>
    <w:rsid w:val="00B3334D"/>
    <w:rsid w:val="00B36F4B"/>
    <w:rsid w:val="00B453DC"/>
    <w:rsid w:val="00B4788A"/>
    <w:rsid w:val="00B47C04"/>
    <w:rsid w:val="00B500D2"/>
    <w:rsid w:val="00B50219"/>
    <w:rsid w:val="00B53FC3"/>
    <w:rsid w:val="00B54D32"/>
    <w:rsid w:val="00B57B9F"/>
    <w:rsid w:val="00B65918"/>
    <w:rsid w:val="00B67E60"/>
    <w:rsid w:val="00B709F1"/>
    <w:rsid w:val="00B73B8E"/>
    <w:rsid w:val="00B760A3"/>
    <w:rsid w:val="00B764E8"/>
    <w:rsid w:val="00B77C5B"/>
    <w:rsid w:val="00B81595"/>
    <w:rsid w:val="00B82A15"/>
    <w:rsid w:val="00B87CE7"/>
    <w:rsid w:val="00B91496"/>
    <w:rsid w:val="00B91898"/>
    <w:rsid w:val="00B92871"/>
    <w:rsid w:val="00B92BD3"/>
    <w:rsid w:val="00B973D7"/>
    <w:rsid w:val="00BB7141"/>
    <w:rsid w:val="00BB7A48"/>
    <w:rsid w:val="00BC3298"/>
    <w:rsid w:val="00BC5E6F"/>
    <w:rsid w:val="00BD0C81"/>
    <w:rsid w:val="00BD2396"/>
    <w:rsid w:val="00BD2886"/>
    <w:rsid w:val="00BD3757"/>
    <w:rsid w:val="00BE1452"/>
    <w:rsid w:val="00BE2134"/>
    <w:rsid w:val="00BE5EC4"/>
    <w:rsid w:val="00BF69F5"/>
    <w:rsid w:val="00BF78DC"/>
    <w:rsid w:val="00C0116F"/>
    <w:rsid w:val="00C01D4D"/>
    <w:rsid w:val="00C03E58"/>
    <w:rsid w:val="00C07296"/>
    <w:rsid w:val="00C165AC"/>
    <w:rsid w:val="00C232EB"/>
    <w:rsid w:val="00C35471"/>
    <w:rsid w:val="00C3564A"/>
    <w:rsid w:val="00C36E51"/>
    <w:rsid w:val="00C377B8"/>
    <w:rsid w:val="00C37E5E"/>
    <w:rsid w:val="00C42BBA"/>
    <w:rsid w:val="00C42BC1"/>
    <w:rsid w:val="00C458D4"/>
    <w:rsid w:val="00C5146F"/>
    <w:rsid w:val="00C614F2"/>
    <w:rsid w:val="00C625E2"/>
    <w:rsid w:val="00C702D6"/>
    <w:rsid w:val="00C76CB2"/>
    <w:rsid w:val="00C77181"/>
    <w:rsid w:val="00C77F9F"/>
    <w:rsid w:val="00C8609B"/>
    <w:rsid w:val="00C877DF"/>
    <w:rsid w:val="00C87C6C"/>
    <w:rsid w:val="00C90A69"/>
    <w:rsid w:val="00C9161B"/>
    <w:rsid w:val="00C92C50"/>
    <w:rsid w:val="00C93FEB"/>
    <w:rsid w:val="00C95EA2"/>
    <w:rsid w:val="00C96B43"/>
    <w:rsid w:val="00CA063E"/>
    <w:rsid w:val="00CA20D6"/>
    <w:rsid w:val="00CA47DA"/>
    <w:rsid w:val="00CA57DA"/>
    <w:rsid w:val="00CA619E"/>
    <w:rsid w:val="00CA6380"/>
    <w:rsid w:val="00CA709F"/>
    <w:rsid w:val="00CB11F0"/>
    <w:rsid w:val="00CB2C48"/>
    <w:rsid w:val="00CB3820"/>
    <w:rsid w:val="00CC46E0"/>
    <w:rsid w:val="00CC7EE6"/>
    <w:rsid w:val="00CD3CD4"/>
    <w:rsid w:val="00CE406C"/>
    <w:rsid w:val="00CE492B"/>
    <w:rsid w:val="00CE734A"/>
    <w:rsid w:val="00CE7C62"/>
    <w:rsid w:val="00CF0083"/>
    <w:rsid w:val="00CF4471"/>
    <w:rsid w:val="00CF6E95"/>
    <w:rsid w:val="00D00061"/>
    <w:rsid w:val="00D0031F"/>
    <w:rsid w:val="00D0398D"/>
    <w:rsid w:val="00D03BEF"/>
    <w:rsid w:val="00D05233"/>
    <w:rsid w:val="00D06DE4"/>
    <w:rsid w:val="00D15DAE"/>
    <w:rsid w:val="00D22B33"/>
    <w:rsid w:val="00D26FE1"/>
    <w:rsid w:val="00D32ED4"/>
    <w:rsid w:val="00D338F5"/>
    <w:rsid w:val="00D36385"/>
    <w:rsid w:val="00D36BC3"/>
    <w:rsid w:val="00D41044"/>
    <w:rsid w:val="00D42FF2"/>
    <w:rsid w:val="00D43903"/>
    <w:rsid w:val="00D450B7"/>
    <w:rsid w:val="00D528C2"/>
    <w:rsid w:val="00D57110"/>
    <w:rsid w:val="00D61094"/>
    <w:rsid w:val="00D61A8E"/>
    <w:rsid w:val="00D631FB"/>
    <w:rsid w:val="00D64871"/>
    <w:rsid w:val="00D670B7"/>
    <w:rsid w:val="00D675D3"/>
    <w:rsid w:val="00D70CF5"/>
    <w:rsid w:val="00D7115D"/>
    <w:rsid w:val="00D721BE"/>
    <w:rsid w:val="00D860C4"/>
    <w:rsid w:val="00D909B9"/>
    <w:rsid w:val="00D91957"/>
    <w:rsid w:val="00D9373E"/>
    <w:rsid w:val="00DA31AC"/>
    <w:rsid w:val="00DA4818"/>
    <w:rsid w:val="00DA5A25"/>
    <w:rsid w:val="00DB1C86"/>
    <w:rsid w:val="00DB36EB"/>
    <w:rsid w:val="00DB4AA1"/>
    <w:rsid w:val="00DC0315"/>
    <w:rsid w:val="00DC05C7"/>
    <w:rsid w:val="00DC0B3F"/>
    <w:rsid w:val="00DC2338"/>
    <w:rsid w:val="00DC47BA"/>
    <w:rsid w:val="00DC5015"/>
    <w:rsid w:val="00DD150A"/>
    <w:rsid w:val="00DD30AE"/>
    <w:rsid w:val="00DD6821"/>
    <w:rsid w:val="00DE58BE"/>
    <w:rsid w:val="00DE6798"/>
    <w:rsid w:val="00DF4FD9"/>
    <w:rsid w:val="00DF67E6"/>
    <w:rsid w:val="00E000AA"/>
    <w:rsid w:val="00E01D8E"/>
    <w:rsid w:val="00E15A5A"/>
    <w:rsid w:val="00E16608"/>
    <w:rsid w:val="00E2089C"/>
    <w:rsid w:val="00E23C0C"/>
    <w:rsid w:val="00E260B3"/>
    <w:rsid w:val="00E31923"/>
    <w:rsid w:val="00E34EFD"/>
    <w:rsid w:val="00E352CA"/>
    <w:rsid w:val="00E40EAB"/>
    <w:rsid w:val="00E419BF"/>
    <w:rsid w:val="00E4228F"/>
    <w:rsid w:val="00E42D87"/>
    <w:rsid w:val="00E4335D"/>
    <w:rsid w:val="00E44CDC"/>
    <w:rsid w:val="00E47875"/>
    <w:rsid w:val="00E51E7A"/>
    <w:rsid w:val="00E520D1"/>
    <w:rsid w:val="00E56628"/>
    <w:rsid w:val="00E56CE3"/>
    <w:rsid w:val="00E57494"/>
    <w:rsid w:val="00E63C00"/>
    <w:rsid w:val="00E648EF"/>
    <w:rsid w:val="00E678DB"/>
    <w:rsid w:val="00E71724"/>
    <w:rsid w:val="00E71D47"/>
    <w:rsid w:val="00E759FE"/>
    <w:rsid w:val="00E813B7"/>
    <w:rsid w:val="00E82574"/>
    <w:rsid w:val="00E90BB0"/>
    <w:rsid w:val="00E90D78"/>
    <w:rsid w:val="00E93F0A"/>
    <w:rsid w:val="00E954E8"/>
    <w:rsid w:val="00E9615E"/>
    <w:rsid w:val="00E963DB"/>
    <w:rsid w:val="00EA41B5"/>
    <w:rsid w:val="00EA5485"/>
    <w:rsid w:val="00EA6911"/>
    <w:rsid w:val="00EA6B11"/>
    <w:rsid w:val="00EB1C17"/>
    <w:rsid w:val="00EB2444"/>
    <w:rsid w:val="00EB4B4B"/>
    <w:rsid w:val="00EC0B2C"/>
    <w:rsid w:val="00EC238E"/>
    <w:rsid w:val="00EC3050"/>
    <w:rsid w:val="00EC43A6"/>
    <w:rsid w:val="00ED19B1"/>
    <w:rsid w:val="00ED2A3F"/>
    <w:rsid w:val="00ED2D3E"/>
    <w:rsid w:val="00ED4658"/>
    <w:rsid w:val="00ED4D18"/>
    <w:rsid w:val="00ED5199"/>
    <w:rsid w:val="00ED59A5"/>
    <w:rsid w:val="00EE7CB3"/>
    <w:rsid w:val="00EF1782"/>
    <w:rsid w:val="00EF636B"/>
    <w:rsid w:val="00EF6ED7"/>
    <w:rsid w:val="00F006CB"/>
    <w:rsid w:val="00F028CE"/>
    <w:rsid w:val="00F03A3A"/>
    <w:rsid w:val="00F04480"/>
    <w:rsid w:val="00F06D6E"/>
    <w:rsid w:val="00F07945"/>
    <w:rsid w:val="00F101A3"/>
    <w:rsid w:val="00F13786"/>
    <w:rsid w:val="00F142D8"/>
    <w:rsid w:val="00F16E31"/>
    <w:rsid w:val="00F174E6"/>
    <w:rsid w:val="00F22C90"/>
    <w:rsid w:val="00F24125"/>
    <w:rsid w:val="00F275A3"/>
    <w:rsid w:val="00F27B48"/>
    <w:rsid w:val="00F30454"/>
    <w:rsid w:val="00F30A78"/>
    <w:rsid w:val="00F31121"/>
    <w:rsid w:val="00F347B7"/>
    <w:rsid w:val="00F378A5"/>
    <w:rsid w:val="00F42AD0"/>
    <w:rsid w:val="00F445DC"/>
    <w:rsid w:val="00F44983"/>
    <w:rsid w:val="00F4682B"/>
    <w:rsid w:val="00F468C3"/>
    <w:rsid w:val="00F51413"/>
    <w:rsid w:val="00F52339"/>
    <w:rsid w:val="00F64A0C"/>
    <w:rsid w:val="00F64C4B"/>
    <w:rsid w:val="00F64C6E"/>
    <w:rsid w:val="00F70A60"/>
    <w:rsid w:val="00F7198E"/>
    <w:rsid w:val="00F72DF6"/>
    <w:rsid w:val="00F76129"/>
    <w:rsid w:val="00F82A6E"/>
    <w:rsid w:val="00F8345D"/>
    <w:rsid w:val="00F8536C"/>
    <w:rsid w:val="00F85BC4"/>
    <w:rsid w:val="00F870BA"/>
    <w:rsid w:val="00F87965"/>
    <w:rsid w:val="00F90C35"/>
    <w:rsid w:val="00F911BA"/>
    <w:rsid w:val="00F971CC"/>
    <w:rsid w:val="00FA060D"/>
    <w:rsid w:val="00FA32DA"/>
    <w:rsid w:val="00FA3616"/>
    <w:rsid w:val="00FA53FC"/>
    <w:rsid w:val="00FA5647"/>
    <w:rsid w:val="00FA7700"/>
    <w:rsid w:val="00FB04F8"/>
    <w:rsid w:val="00FB2530"/>
    <w:rsid w:val="00FC3D19"/>
    <w:rsid w:val="00FC76A4"/>
    <w:rsid w:val="00FD3183"/>
    <w:rsid w:val="00FD7065"/>
    <w:rsid w:val="00FE2422"/>
    <w:rsid w:val="00FE5690"/>
    <w:rsid w:val="00FF2492"/>
    <w:rsid w:val="00FF71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98272"/>
  <w15:chartTrackingRefBased/>
  <w15:docId w15:val="{C013940A-E3C9-4D16-80DB-4F40754C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autoRedefine/>
    <w:uiPriority w:val="9"/>
    <w:qFormat/>
    <w:rsid w:val="008922B0"/>
    <w:pPr>
      <w:keepNext/>
      <w:keepLines/>
      <w:numPr>
        <w:numId w:val="1"/>
      </w:numPr>
      <w:spacing w:before="240" w:after="0"/>
      <w:outlineLvl w:val="0"/>
    </w:pPr>
    <w:rPr>
      <w:rFonts w:ascii="Calibri" w:eastAsiaTheme="majorEastAsia" w:hAnsi="Calibri" w:cs="Calibri"/>
      <w:b/>
      <w:bCs/>
      <w:sz w:val="28"/>
      <w:szCs w:val="24"/>
    </w:rPr>
  </w:style>
  <w:style w:type="paragraph" w:styleId="Nadpis2">
    <w:name w:val="heading 2"/>
    <w:basedOn w:val="Normln"/>
    <w:next w:val="Normln"/>
    <w:link w:val="Nadpis2Char"/>
    <w:uiPriority w:val="9"/>
    <w:unhideWhenUsed/>
    <w:qFormat/>
    <w:rsid w:val="00107D19"/>
    <w:pPr>
      <w:keepNext/>
      <w:keepLines/>
      <w:numPr>
        <w:ilvl w:val="1"/>
        <w:numId w:val="1"/>
      </w:numPr>
      <w:spacing w:before="40" w:after="0"/>
      <w:outlineLvl w:val="1"/>
    </w:pPr>
    <w:rPr>
      <w:rFonts w:eastAsiaTheme="majorEastAsia" w:cstheme="majorBidi"/>
      <w:b/>
      <w:sz w:val="26"/>
      <w:szCs w:val="26"/>
    </w:rPr>
  </w:style>
  <w:style w:type="paragraph" w:styleId="Nadpis3">
    <w:name w:val="heading 3"/>
    <w:basedOn w:val="Normln"/>
    <w:next w:val="Normln"/>
    <w:link w:val="Nadpis3Char"/>
    <w:uiPriority w:val="9"/>
    <w:unhideWhenUsed/>
    <w:qFormat/>
    <w:rsid w:val="00107D19"/>
    <w:pPr>
      <w:keepNext/>
      <w:keepLines/>
      <w:numPr>
        <w:ilvl w:val="2"/>
        <w:numId w:val="1"/>
      </w:numPr>
      <w:spacing w:before="40" w:after="0"/>
      <w:ind w:left="720"/>
      <w:outlineLvl w:val="2"/>
    </w:pPr>
    <w:rPr>
      <w:rFonts w:eastAsiaTheme="majorEastAsia" w:cstheme="majorBidi"/>
      <w:b/>
      <w:sz w:val="24"/>
      <w:szCs w:val="24"/>
    </w:rPr>
  </w:style>
  <w:style w:type="paragraph" w:styleId="Nadpis4">
    <w:name w:val="heading 4"/>
    <w:basedOn w:val="Normln"/>
    <w:next w:val="Normln"/>
    <w:link w:val="Nadpis4Char"/>
    <w:uiPriority w:val="9"/>
    <w:semiHidden/>
    <w:unhideWhenUsed/>
    <w:qFormat/>
    <w:rsid w:val="00E16608"/>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E1660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E16608"/>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E16608"/>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E1660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E1660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22B0"/>
    <w:rPr>
      <w:rFonts w:ascii="Calibri" w:eastAsiaTheme="majorEastAsia" w:hAnsi="Calibri" w:cs="Calibri"/>
      <w:b/>
      <w:bCs/>
      <w:sz w:val="28"/>
      <w:szCs w:val="24"/>
    </w:rPr>
  </w:style>
  <w:style w:type="character" w:customStyle="1" w:styleId="Nadpis2Char">
    <w:name w:val="Nadpis 2 Char"/>
    <w:basedOn w:val="Standardnpsmoodstavce"/>
    <w:link w:val="Nadpis2"/>
    <w:uiPriority w:val="9"/>
    <w:rsid w:val="00107D19"/>
    <w:rPr>
      <w:rFonts w:eastAsiaTheme="majorEastAsia" w:cstheme="majorBidi"/>
      <w:b/>
      <w:sz w:val="26"/>
      <w:szCs w:val="26"/>
    </w:rPr>
  </w:style>
  <w:style w:type="character" w:customStyle="1" w:styleId="Nadpis3Char">
    <w:name w:val="Nadpis 3 Char"/>
    <w:basedOn w:val="Standardnpsmoodstavce"/>
    <w:link w:val="Nadpis3"/>
    <w:uiPriority w:val="9"/>
    <w:rsid w:val="00107D19"/>
    <w:rPr>
      <w:rFonts w:eastAsiaTheme="majorEastAsia" w:cstheme="majorBidi"/>
      <w:b/>
      <w:sz w:val="24"/>
      <w:szCs w:val="24"/>
    </w:rPr>
  </w:style>
  <w:style w:type="character" w:customStyle="1" w:styleId="Nadpis4Char">
    <w:name w:val="Nadpis 4 Char"/>
    <w:basedOn w:val="Standardnpsmoodstavce"/>
    <w:link w:val="Nadpis4"/>
    <w:uiPriority w:val="9"/>
    <w:semiHidden/>
    <w:rsid w:val="00E1660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E1660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E1660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E1660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E1660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16608"/>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E1660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6608"/>
    <w:rPr>
      <w:rFonts w:ascii="Segoe UI" w:hAnsi="Segoe UI" w:cs="Segoe UI"/>
      <w:sz w:val="18"/>
      <w:szCs w:val="18"/>
    </w:rPr>
  </w:style>
  <w:style w:type="paragraph" w:styleId="Zhlav">
    <w:name w:val="header"/>
    <w:basedOn w:val="Normln"/>
    <w:link w:val="ZhlavChar"/>
    <w:uiPriority w:val="99"/>
    <w:unhideWhenUsed/>
    <w:rsid w:val="00E1660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16608"/>
  </w:style>
  <w:style w:type="paragraph" w:styleId="Zpat">
    <w:name w:val="footer"/>
    <w:basedOn w:val="Normln"/>
    <w:link w:val="ZpatChar"/>
    <w:uiPriority w:val="99"/>
    <w:unhideWhenUsed/>
    <w:rsid w:val="00E16608"/>
    <w:pPr>
      <w:tabs>
        <w:tab w:val="center" w:pos="4536"/>
        <w:tab w:val="right" w:pos="9072"/>
      </w:tabs>
      <w:spacing w:after="0" w:line="240" w:lineRule="auto"/>
    </w:pPr>
  </w:style>
  <w:style w:type="character" w:customStyle="1" w:styleId="ZpatChar">
    <w:name w:val="Zápatí Char"/>
    <w:basedOn w:val="Standardnpsmoodstavce"/>
    <w:link w:val="Zpat"/>
    <w:uiPriority w:val="99"/>
    <w:rsid w:val="00E16608"/>
  </w:style>
  <w:style w:type="paragraph" w:styleId="Nadpisobsahu">
    <w:name w:val="TOC Heading"/>
    <w:basedOn w:val="Nadpis1"/>
    <w:next w:val="Normln"/>
    <w:uiPriority w:val="39"/>
    <w:unhideWhenUsed/>
    <w:qFormat/>
    <w:rsid w:val="00D675D3"/>
    <w:pPr>
      <w:numPr>
        <w:numId w:val="0"/>
      </w:numPr>
      <w:outlineLvl w:val="9"/>
    </w:pPr>
    <w:rPr>
      <w:b w:val="0"/>
      <w:color w:val="2E74B5" w:themeColor="accent1" w:themeShade="BF"/>
      <w:lang w:eastAsia="cs-CZ"/>
    </w:rPr>
  </w:style>
  <w:style w:type="paragraph" w:styleId="Obsah1">
    <w:name w:val="toc 1"/>
    <w:basedOn w:val="Normln"/>
    <w:next w:val="Normln"/>
    <w:autoRedefine/>
    <w:uiPriority w:val="39"/>
    <w:unhideWhenUsed/>
    <w:rsid w:val="00D675D3"/>
    <w:pPr>
      <w:spacing w:after="100"/>
    </w:pPr>
  </w:style>
  <w:style w:type="character" w:styleId="Hypertextovodkaz">
    <w:name w:val="Hyperlink"/>
    <w:basedOn w:val="Standardnpsmoodstavce"/>
    <w:uiPriority w:val="99"/>
    <w:unhideWhenUsed/>
    <w:rsid w:val="00D675D3"/>
    <w:rPr>
      <w:color w:val="0563C1" w:themeColor="hyperlink"/>
      <w:u w:val="single"/>
    </w:rPr>
  </w:style>
  <w:style w:type="character" w:styleId="Odkaznakoment">
    <w:name w:val="annotation reference"/>
    <w:basedOn w:val="Standardnpsmoodstavce"/>
    <w:uiPriority w:val="99"/>
    <w:semiHidden/>
    <w:unhideWhenUsed/>
    <w:rsid w:val="005872E8"/>
    <w:rPr>
      <w:sz w:val="16"/>
      <w:szCs w:val="16"/>
    </w:rPr>
  </w:style>
  <w:style w:type="paragraph" w:styleId="Textkomente">
    <w:name w:val="annotation text"/>
    <w:basedOn w:val="Normln"/>
    <w:link w:val="TextkomenteChar"/>
    <w:uiPriority w:val="99"/>
    <w:unhideWhenUsed/>
    <w:rsid w:val="005872E8"/>
    <w:pPr>
      <w:spacing w:line="240" w:lineRule="auto"/>
    </w:pPr>
    <w:rPr>
      <w:sz w:val="20"/>
      <w:szCs w:val="20"/>
    </w:rPr>
  </w:style>
  <w:style w:type="character" w:customStyle="1" w:styleId="TextkomenteChar">
    <w:name w:val="Text komentáře Char"/>
    <w:basedOn w:val="Standardnpsmoodstavce"/>
    <w:link w:val="Textkomente"/>
    <w:uiPriority w:val="99"/>
    <w:rsid w:val="005872E8"/>
    <w:rPr>
      <w:sz w:val="20"/>
      <w:szCs w:val="20"/>
    </w:rPr>
  </w:style>
  <w:style w:type="paragraph" w:styleId="Pedmtkomente">
    <w:name w:val="annotation subject"/>
    <w:basedOn w:val="Textkomente"/>
    <w:next w:val="Textkomente"/>
    <w:link w:val="PedmtkomenteChar"/>
    <w:uiPriority w:val="99"/>
    <w:semiHidden/>
    <w:unhideWhenUsed/>
    <w:rsid w:val="005872E8"/>
    <w:rPr>
      <w:b/>
      <w:bCs/>
    </w:rPr>
  </w:style>
  <w:style w:type="character" w:customStyle="1" w:styleId="PedmtkomenteChar">
    <w:name w:val="Předmět komentáře Char"/>
    <w:basedOn w:val="TextkomenteChar"/>
    <w:link w:val="Pedmtkomente"/>
    <w:uiPriority w:val="99"/>
    <w:semiHidden/>
    <w:rsid w:val="005872E8"/>
    <w:rPr>
      <w:b/>
      <w:bCs/>
      <w:sz w:val="20"/>
      <w:szCs w:val="20"/>
    </w:rPr>
  </w:style>
  <w:style w:type="paragraph" w:styleId="Obsah2">
    <w:name w:val="toc 2"/>
    <w:basedOn w:val="Normln"/>
    <w:next w:val="Normln"/>
    <w:autoRedefine/>
    <w:uiPriority w:val="39"/>
    <w:unhideWhenUsed/>
    <w:rsid w:val="00901D79"/>
    <w:pPr>
      <w:spacing w:after="100"/>
      <w:ind w:left="220"/>
    </w:pPr>
  </w:style>
  <w:style w:type="paragraph" w:styleId="Obsah3">
    <w:name w:val="toc 3"/>
    <w:basedOn w:val="Normln"/>
    <w:next w:val="Normln"/>
    <w:autoRedefine/>
    <w:uiPriority w:val="39"/>
    <w:unhideWhenUsed/>
    <w:rsid w:val="00901D79"/>
    <w:pPr>
      <w:spacing w:after="100"/>
      <w:ind w:left="440"/>
    </w:pPr>
  </w:style>
  <w:style w:type="table" w:styleId="Mkatabulky">
    <w:name w:val="Table Grid"/>
    <w:basedOn w:val="Normlntabulka"/>
    <w:uiPriority w:val="39"/>
    <w:qFormat/>
    <w:rsid w:val="00824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Odstavec cíl se seznamem,Odstavec se seznamem5,_Odstavec se seznamem,Seznam - odrážky,Fiche List Paragraph,List Paragraph (Czech Tourism),Odstavec se seznamem2,Odstavec_muj1"/>
    <w:basedOn w:val="Normln"/>
    <w:link w:val="OdstavecseseznamemChar"/>
    <w:uiPriority w:val="34"/>
    <w:qFormat/>
    <w:rsid w:val="00461CFB"/>
    <w:pPr>
      <w:ind w:left="720"/>
      <w:contextualSpacing/>
    </w:pPr>
    <w:rPr>
      <w:kern w:val="2"/>
      <w14:ligatures w14:val="standardContextual"/>
    </w:rPr>
  </w:style>
  <w:style w:type="character" w:customStyle="1" w:styleId="OdstavecseseznamemChar">
    <w:name w:val="Odstavec se seznamem Char"/>
    <w:aliases w:val="Nad Char,Odstavec_muj Char,Název grafu Char,nad 1 Char,Conclusion de partie Char,Odstavec cíl se seznamem Char,Odstavec se seznamem5 Char,_Odstavec se seznamem Char,Seznam - odrážky Char,Fiche List Paragraph Char"/>
    <w:link w:val="Odstavecseseznamem"/>
    <w:uiPriority w:val="34"/>
    <w:rsid w:val="00461CFB"/>
    <w:rPr>
      <w:kern w:val="2"/>
      <w14:ligatures w14:val="standardContextual"/>
    </w:rPr>
  </w:style>
  <w:style w:type="character" w:styleId="Siln">
    <w:name w:val="Strong"/>
    <w:basedOn w:val="Standardnpsmoodstavce"/>
    <w:uiPriority w:val="22"/>
    <w:qFormat/>
    <w:rsid w:val="00461CFB"/>
    <w:rPr>
      <w:b/>
      <w:bCs/>
    </w:rPr>
  </w:style>
  <w:style w:type="paragraph" w:styleId="Titulek">
    <w:name w:val="caption"/>
    <w:basedOn w:val="Normln"/>
    <w:next w:val="Normln"/>
    <w:uiPriority w:val="35"/>
    <w:unhideWhenUsed/>
    <w:qFormat/>
    <w:rsid w:val="00D0398D"/>
    <w:pPr>
      <w:spacing w:after="200" w:line="240" w:lineRule="auto"/>
    </w:pPr>
    <w:rPr>
      <w:i/>
      <w:iCs/>
      <w:color w:val="44546A" w:themeColor="text2"/>
      <w:kern w:val="2"/>
      <w:sz w:val="18"/>
      <w:szCs w:val="18"/>
      <w14:ligatures w14:val="standardContextual"/>
    </w:rPr>
  </w:style>
  <w:style w:type="paragraph" w:styleId="Textpoznpodarou">
    <w:name w:val="footnote text"/>
    <w:basedOn w:val="Normln"/>
    <w:link w:val="TextpoznpodarouChar"/>
    <w:uiPriority w:val="99"/>
    <w:semiHidden/>
    <w:unhideWhenUsed/>
    <w:rsid w:val="004A00D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A00DF"/>
    <w:rPr>
      <w:sz w:val="20"/>
      <w:szCs w:val="20"/>
    </w:rPr>
  </w:style>
  <w:style w:type="character" w:styleId="Znakapoznpodarou">
    <w:name w:val="footnote reference"/>
    <w:basedOn w:val="Standardnpsmoodstavce"/>
    <w:uiPriority w:val="99"/>
    <w:semiHidden/>
    <w:unhideWhenUsed/>
    <w:rsid w:val="004A00DF"/>
    <w:rPr>
      <w:vertAlign w:val="superscript"/>
    </w:rPr>
  </w:style>
  <w:style w:type="character" w:customStyle="1" w:styleId="h1a">
    <w:name w:val="h1a"/>
    <w:basedOn w:val="Standardnpsmoodstavce"/>
    <w:rsid w:val="00807BCD"/>
  </w:style>
  <w:style w:type="paragraph" w:styleId="Bezmezer">
    <w:name w:val="No Spacing"/>
    <w:uiPriority w:val="1"/>
    <w:qFormat/>
    <w:rsid w:val="00ED19B1"/>
    <w:pPr>
      <w:spacing w:after="0" w:line="240" w:lineRule="auto"/>
    </w:pPr>
  </w:style>
  <w:style w:type="table" w:customStyle="1" w:styleId="Mkatabulky1">
    <w:name w:val="Mřížka tabulky1"/>
    <w:basedOn w:val="Normlntabulka"/>
    <w:next w:val="Mkatabulky"/>
    <w:uiPriority w:val="39"/>
    <w:rsid w:val="002B3CA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E419BF"/>
  </w:style>
  <w:style w:type="paragraph" w:customStyle="1" w:styleId="paragraph">
    <w:name w:val="paragraph"/>
    <w:basedOn w:val="Normln"/>
    <w:rsid w:val="00E419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2936AF"/>
    <w:pPr>
      <w:spacing w:after="0" w:line="240" w:lineRule="auto"/>
    </w:pPr>
  </w:style>
  <w:style w:type="character" w:styleId="Nevyeenzmnka">
    <w:name w:val="Unresolved Mention"/>
    <w:basedOn w:val="Standardnpsmoodstavce"/>
    <w:uiPriority w:val="99"/>
    <w:semiHidden/>
    <w:unhideWhenUsed/>
    <w:rsid w:val="000A19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933495">
      <w:bodyDiv w:val="1"/>
      <w:marLeft w:val="0"/>
      <w:marRight w:val="0"/>
      <w:marTop w:val="0"/>
      <w:marBottom w:val="0"/>
      <w:divBdr>
        <w:top w:val="none" w:sz="0" w:space="0" w:color="auto"/>
        <w:left w:val="none" w:sz="0" w:space="0" w:color="auto"/>
        <w:bottom w:val="none" w:sz="0" w:space="0" w:color="auto"/>
        <w:right w:val="none" w:sz="0" w:space="0" w:color="auto"/>
      </w:divBdr>
    </w:div>
    <w:div w:id="1128160215">
      <w:bodyDiv w:val="1"/>
      <w:marLeft w:val="0"/>
      <w:marRight w:val="0"/>
      <w:marTop w:val="0"/>
      <w:marBottom w:val="0"/>
      <w:divBdr>
        <w:top w:val="none" w:sz="0" w:space="0" w:color="auto"/>
        <w:left w:val="none" w:sz="0" w:space="0" w:color="auto"/>
        <w:bottom w:val="none" w:sz="0" w:space="0" w:color="auto"/>
        <w:right w:val="none" w:sz="0" w:space="0" w:color="auto"/>
      </w:divBdr>
    </w:div>
    <w:div w:id="142449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77892-76B2-47FD-8706-ADDECEE40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12669</Words>
  <Characters>74752</Characters>
  <Application>Microsoft Office Word</Application>
  <DocSecurity>0</DocSecurity>
  <Lines>622</Lines>
  <Paragraphs>174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Lysý</dc:creator>
  <cp:keywords/>
  <dc:description/>
  <cp:lastModifiedBy>Petr Lysý</cp:lastModifiedBy>
  <cp:revision>2</cp:revision>
  <cp:lastPrinted>2025-02-04T12:00:00Z</cp:lastPrinted>
  <dcterms:created xsi:type="dcterms:W3CDTF">2025-04-25T04:53:00Z</dcterms:created>
  <dcterms:modified xsi:type="dcterms:W3CDTF">2025-04-25T04:53:00Z</dcterms:modified>
</cp:coreProperties>
</file>